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6C896">
      <w:pPr>
        <w:spacing w:line="1760" w:lineRule="exact"/>
        <w:jc w:val="distribute"/>
        <w:textAlignment w:val="baseline"/>
        <w:rPr>
          <w:rFonts w:hint="eastAsia" w:ascii="方正小标宋简体" w:eastAsia="方正小标宋简体"/>
          <w:color w:val="FF0000"/>
          <w:spacing w:val="-57"/>
          <w:kern w:val="20"/>
          <w:sz w:val="132"/>
          <w:szCs w:val="132"/>
        </w:rPr>
      </w:pPr>
      <w:bookmarkStart w:id="0" w:name="OLE_LINK1"/>
    </w:p>
    <w:p w14:paraId="148F4007">
      <w:pPr>
        <w:spacing w:line="1760" w:lineRule="exact"/>
        <w:jc w:val="distribute"/>
        <w:textAlignment w:val="baseline"/>
        <w:rPr>
          <w:rFonts w:hint="eastAsia" w:ascii="方正公文小标宋" w:hAnsi="方正公文小标宋" w:eastAsia="方正公文小标宋" w:cs="方正公文小标宋"/>
          <w:color w:val="FF0000"/>
          <w:spacing w:val="-57"/>
          <w:kern w:val="20"/>
          <w:sz w:val="132"/>
          <w:szCs w:val="132"/>
        </w:rPr>
      </w:pPr>
      <w:r>
        <w:rPr>
          <w:rFonts w:hint="eastAsia" w:ascii="方正公文小标宋" w:hAnsi="方正公文小标宋" w:eastAsia="方正公文小标宋" w:cs="方正公文小标宋"/>
          <w:color w:val="FF0000"/>
          <w:spacing w:val="-57"/>
          <w:kern w:val="20"/>
          <w:sz w:val="132"/>
          <w:szCs w:val="132"/>
        </w:rPr>
        <w:t>担保动态周报</w:t>
      </w:r>
    </w:p>
    <w:p w14:paraId="5C48EEDB">
      <w:pPr>
        <w:spacing w:line="560" w:lineRule="exact"/>
        <w:ind w:firstLine="160" w:firstLineChars="50"/>
        <w:jc w:val="center"/>
        <w:rPr>
          <w:rFonts w:hint="default" w:ascii="仿宋_GB2312" w:hAnsi="仿宋" w:eastAsia="仿宋_GB2312" w:cs="楷体_GB2312"/>
          <w:bCs/>
          <w:spacing w:val="-20"/>
          <w:sz w:val="32"/>
          <w:szCs w:val="32"/>
          <w:lang w:val="en-US" w:eastAsia="zh-CN"/>
        </w:rPr>
      </w:pPr>
      <w:r>
        <w:rPr>
          <w:rFonts w:hint="eastAsia" w:ascii="仿宋_GB2312" w:hAnsi="仿宋" w:eastAsia="仿宋_GB2312" w:cs="楷体_GB2312"/>
          <w:bCs/>
          <w:sz w:val="32"/>
          <w:szCs w:val="32"/>
        </w:rPr>
        <w:t>第</w:t>
      </w:r>
      <w:r>
        <w:rPr>
          <w:rFonts w:hint="eastAsia" w:ascii="仿宋_GB2312" w:hAnsi="仿宋" w:eastAsia="仿宋_GB2312" w:cs="楷体_GB2312"/>
          <w:bCs/>
          <w:sz w:val="32"/>
          <w:szCs w:val="32"/>
          <w:lang w:val="en-US" w:eastAsia="zh-CN"/>
        </w:rPr>
        <w:t>31</w:t>
      </w:r>
      <w:r>
        <w:rPr>
          <w:rFonts w:hint="eastAsia" w:ascii="仿宋_GB2312" w:hAnsi="仿宋" w:eastAsia="仿宋_GB2312" w:cs="楷体_GB2312"/>
          <w:bCs/>
          <w:sz w:val="32"/>
          <w:szCs w:val="32"/>
        </w:rPr>
        <w:t>期</w:t>
      </w:r>
      <w:r>
        <w:rPr>
          <w:rFonts w:hint="eastAsia" w:ascii="仿宋_GB2312" w:hAnsi="仿宋" w:eastAsia="仿宋_GB2312" w:cs="楷体_GB2312"/>
          <w:bCs/>
          <w:sz w:val="32"/>
          <w:szCs w:val="32"/>
          <w:lang w:val="en-US" w:eastAsia="zh-CN"/>
        </w:rPr>
        <w:t xml:space="preserve"> </w:t>
      </w:r>
      <w:r>
        <w:rPr>
          <w:rFonts w:hint="eastAsia" w:ascii="仿宋_GB2312" w:hAnsi="仿宋" w:eastAsia="仿宋_GB2312" w:cs="楷体_GB2312"/>
          <w:bCs/>
          <w:spacing w:val="-20"/>
          <w:sz w:val="32"/>
          <w:szCs w:val="32"/>
          <w:lang w:val="en-US" w:eastAsia="zh-CN"/>
        </w:rPr>
        <w:t>“一行一局一会”金融支持经济高质量发展发布会专题</w:t>
      </w:r>
    </w:p>
    <w:p w14:paraId="2C72DEC5">
      <w:pPr>
        <w:spacing w:line="560" w:lineRule="exact"/>
        <w:ind w:firstLine="160" w:firstLineChars="50"/>
        <w:jc w:val="center"/>
        <w:rPr>
          <w:rFonts w:hint="eastAsia" w:ascii="仿宋_GB2312" w:hAnsi="仿宋" w:eastAsia="仿宋_GB2312" w:cs="楷体_GB2312"/>
          <w:bCs/>
          <w:sz w:val="32"/>
          <w:szCs w:val="32"/>
        </w:rPr>
      </w:pPr>
      <w:r>
        <w:rPr>
          <w:rFonts w:hint="eastAsia" w:ascii="仿宋_GB2312" w:hAnsi="仿宋" w:eastAsia="仿宋_GB2312" w:cs="楷体_GB2312"/>
          <w:bCs/>
          <w:sz w:val="32"/>
          <w:szCs w:val="32"/>
          <w:lang w:eastAsia="zh-CN"/>
        </w:rPr>
        <w:t>（</w:t>
      </w:r>
      <w:r>
        <w:rPr>
          <w:rFonts w:hint="eastAsia" w:ascii="仿宋_GB2312" w:hAnsi="仿宋" w:eastAsia="仿宋_GB2312" w:cs="楷体_GB2312"/>
          <w:bCs/>
          <w:sz w:val="32"/>
          <w:szCs w:val="32"/>
          <w:lang w:val="en-US" w:eastAsia="zh-CN"/>
        </w:rPr>
        <w:t>9</w:t>
      </w:r>
      <w:r>
        <w:rPr>
          <w:rFonts w:hint="eastAsia" w:ascii="仿宋_GB2312" w:hAnsi="仿宋" w:eastAsia="仿宋_GB2312" w:cs="楷体_GB2312"/>
          <w:bCs/>
          <w:sz w:val="32"/>
          <w:szCs w:val="32"/>
        </w:rPr>
        <w:t>月</w:t>
      </w:r>
      <w:r>
        <w:rPr>
          <w:rFonts w:hint="eastAsia" w:ascii="仿宋_GB2312" w:hAnsi="仿宋" w:eastAsia="仿宋_GB2312" w:cs="楷体_GB2312"/>
          <w:bCs/>
          <w:sz w:val="32"/>
          <w:szCs w:val="32"/>
          <w:lang w:val="en-US" w:eastAsia="zh-CN"/>
        </w:rPr>
        <w:t>24日-10月30日</w:t>
      </w:r>
      <w:r>
        <w:rPr>
          <w:rFonts w:hint="eastAsia" w:ascii="仿宋_GB2312" w:hAnsi="仿宋" w:eastAsia="仿宋_GB2312" w:cs="楷体_GB2312"/>
          <w:bCs/>
          <w:sz w:val="32"/>
          <w:szCs w:val="32"/>
          <w:lang w:eastAsia="zh-CN"/>
        </w:rPr>
        <w:t>）</w:t>
      </w:r>
    </w:p>
    <w:p w14:paraId="216BB91C">
      <w:pPr>
        <w:spacing w:line="560" w:lineRule="exact"/>
        <w:ind w:firstLine="160" w:firstLineChars="50"/>
        <w:jc w:val="center"/>
        <w:rPr>
          <w:rFonts w:ascii="仿宋" w:hAnsi="仿宋" w:eastAsia="仿宋" w:cs="楷体_GB2312"/>
          <w:bCs/>
          <w:sz w:val="32"/>
          <w:szCs w:val="32"/>
        </w:rPr>
      </w:pPr>
    </w:p>
    <w:p w14:paraId="6D1B9895">
      <w:pPr>
        <w:pBdr>
          <w:top w:val="none" w:color="auto" w:sz="0" w:space="1"/>
          <w:left w:val="none" w:color="auto" w:sz="0" w:space="4"/>
          <w:bottom w:val="single" w:color="FF0000" w:sz="18" w:space="1"/>
          <w:right w:val="none" w:color="auto" w:sz="0" w:space="4"/>
        </w:pBdr>
        <w:spacing w:line="560" w:lineRule="exact"/>
        <w:rPr>
          <w:rFonts w:hint="eastAsia" w:ascii="黑体" w:hAnsi="黑体" w:eastAsia="黑体"/>
          <w:b w:val="0"/>
          <w:bCs w:val="0"/>
          <w:sz w:val="32"/>
          <w:szCs w:val="32"/>
        </w:rPr>
      </w:pPr>
      <w:r>
        <w:rPr>
          <w:rFonts w:hint="eastAsia" w:ascii="仿宋_GB2312" w:hAnsi="仿宋" w:eastAsia="仿宋_GB2312" w:cs="楷体_GB2312"/>
          <w:bCs/>
          <w:sz w:val="32"/>
          <w:szCs w:val="32"/>
        </w:rPr>
        <w:t>四川再担保机构发展部                  202</w:t>
      </w:r>
      <w:r>
        <w:rPr>
          <w:rFonts w:hint="eastAsia" w:ascii="仿宋_GB2312" w:hAnsi="仿宋" w:eastAsia="仿宋_GB2312" w:cs="楷体_GB2312"/>
          <w:bCs/>
          <w:sz w:val="32"/>
          <w:szCs w:val="32"/>
          <w:lang w:val="en-US" w:eastAsia="zh-CN"/>
        </w:rPr>
        <w:t>4</w:t>
      </w:r>
      <w:r>
        <w:rPr>
          <w:rFonts w:hint="eastAsia" w:ascii="仿宋_GB2312" w:hAnsi="仿宋" w:eastAsia="仿宋_GB2312" w:cs="楷体_GB2312"/>
          <w:bCs/>
          <w:sz w:val="32"/>
          <w:szCs w:val="32"/>
        </w:rPr>
        <w:t>年</w:t>
      </w:r>
      <w:r>
        <w:rPr>
          <w:rFonts w:hint="eastAsia" w:ascii="仿宋_GB2312" w:hAnsi="仿宋" w:eastAsia="仿宋_GB2312" w:cs="楷体_GB2312"/>
          <w:bCs/>
          <w:sz w:val="32"/>
          <w:szCs w:val="32"/>
          <w:lang w:val="en-US" w:eastAsia="zh-CN"/>
        </w:rPr>
        <w:t>10</w:t>
      </w:r>
      <w:r>
        <w:rPr>
          <w:rFonts w:hint="eastAsia" w:ascii="仿宋_GB2312" w:hAnsi="仿宋" w:eastAsia="仿宋_GB2312" w:cs="楷体_GB2312"/>
          <w:bCs/>
          <w:sz w:val="32"/>
          <w:szCs w:val="32"/>
        </w:rPr>
        <w:t>月</w:t>
      </w:r>
      <w:r>
        <w:rPr>
          <w:rFonts w:hint="eastAsia" w:ascii="仿宋_GB2312" w:hAnsi="仿宋" w:eastAsia="仿宋_GB2312" w:cs="楷体_GB2312"/>
          <w:bCs/>
          <w:sz w:val="32"/>
          <w:szCs w:val="32"/>
          <w:lang w:val="en-US" w:eastAsia="zh-CN"/>
        </w:rPr>
        <w:t>31</w:t>
      </w:r>
      <w:r>
        <w:rPr>
          <w:rFonts w:hint="eastAsia" w:ascii="仿宋_GB2312" w:hAnsi="仿宋" w:eastAsia="仿宋_GB2312" w:cs="楷体_GB2312"/>
          <w:bCs/>
          <w:sz w:val="32"/>
          <w:szCs w:val="32"/>
        </w:rPr>
        <w:t>日</w:t>
      </w:r>
      <w:bookmarkEnd w:id="0"/>
    </w:p>
    <w:p w14:paraId="6AEAD5B6">
      <w:pPr>
        <w:spacing w:line="560" w:lineRule="exact"/>
        <w:rPr>
          <w:rFonts w:hint="eastAsia" w:ascii="黑体" w:hAnsi="黑体" w:eastAsia="黑体"/>
          <w:b w:val="0"/>
          <w:bCs w:val="0"/>
          <w:sz w:val="32"/>
          <w:szCs w:val="32"/>
        </w:rPr>
      </w:pPr>
    </w:p>
    <w:p w14:paraId="17DA3B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b w:val="0"/>
          <w:bCs w:val="0"/>
          <w:sz w:val="32"/>
          <w:szCs w:val="32"/>
        </w:rPr>
      </w:pPr>
      <w:r>
        <w:rPr>
          <w:rFonts w:hint="eastAsia" w:ascii="黑体" w:hAnsi="黑体" w:eastAsia="黑体"/>
          <w:b w:val="0"/>
          <w:bCs w:val="0"/>
          <w:sz w:val="32"/>
          <w:szCs w:val="32"/>
        </w:rPr>
        <w:t>【</w:t>
      </w:r>
      <w:r>
        <w:rPr>
          <w:rFonts w:hint="eastAsia" w:ascii="黑体" w:hAnsi="黑体" w:eastAsia="黑体"/>
          <w:b w:val="0"/>
          <w:bCs w:val="0"/>
          <w:sz w:val="32"/>
          <w:szCs w:val="32"/>
          <w:lang w:val="en-US" w:eastAsia="zh-CN"/>
        </w:rPr>
        <w:t>“一行一局一会”金融支持经济高质量发展发布会专题</w:t>
      </w:r>
      <w:r>
        <w:rPr>
          <w:rFonts w:hint="eastAsia" w:ascii="黑体" w:hAnsi="黑体" w:eastAsia="黑体"/>
          <w:b w:val="0"/>
          <w:bCs w:val="0"/>
          <w:sz w:val="32"/>
          <w:szCs w:val="32"/>
        </w:rPr>
        <w:t>】</w:t>
      </w:r>
    </w:p>
    <w:p w14:paraId="2215C5EA">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国务院新闻办公室：介绍金融支持经济高质量发展有关情况（新闻发布会文字实录节选）</w:t>
      </w:r>
    </w:p>
    <w:p w14:paraId="4F12001C">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国务院新闻办公室：介绍加大助企帮扶力度有关情况（新闻发布会文字实录节选）</w:t>
      </w:r>
    </w:p>
    <w:p w14:paraId="580849EB">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中国人民银行：降低存款准备金率和政策利率</w:t>
      </w:r>
    </w:p>
    <w:p w14:paraId="7AB7F69D">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国家金融监督管理总局：优化“无还本续贷”政策 阶段性扩大到中型企业</w:t>
      </w:r>
    </w:p>
    <w:p w14:paraId="58F6019E">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国家金融监督管理总局：将对国有六大行增加核心资本</w:t>
      </w:r>
    </w:p>
    <w:p w14:paraId="723BCFC2">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国家金融监督管理总局</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eastAsia="zh-CN"/>
        </w:rPr>
        <w:t>李云泽在2024金融街论坛年会开幕式暨全体大会上的主旨演讲</w:t>
      </w:r>
    </w:p>
    <w:p w14:paraId="2D42331B">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中国民生银行首席经济学家：央行降准、降息同步落地会有哪些有利影响</w:t>
      </w:r>
    </w:p>
    <w:p w14:paraId="3F95F64C">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安邦观点：货币政策新“三支箭”的含义和作用</w:t>
      </w:r>
    </w:p>
    <w:p w14:paraId="1D122E5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eastAsia="zh-CN"/>
        </w:rPr>
      </w:pPr>
    </w:p>
    <w:p w14:paraId="7ED7FD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eastAsia="zh-CN"/>
        </w:rPr>
      </w:pPr>
    </w:p>
    <w:p w14:paraId="362099D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eastAsia="zh-CN"/>
        </w:rPr>
      </w:pPr>
    </w:p>
    <w:p w14:paraId="240D89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eastAsia="zh-CN"/>
        </w:rPr>
      </w:pPr>
    </w:p>
    <w:p w14:paraId="4FD484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eastAsia="zh-CN"/>
        </w:rPr>
      </w:pPr>
    </w:p>
    <w:p w14:paraId="56CE77B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eastAsia="zh-CN"/>
        </w:rPr>
      </w:pPr>
    </w:p>
    <w:p w14:paraId="4FA9DF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eastAsia="zh-CN"/>
        </w:rPr>
      </w:pPr>
    </w:p>
    <w:p w14:paraId="668FD46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eastAsia="zh-CN"/>
        </w:rPr>
      </w:pPr>
    </w:p>
    <w:p w14:paraId="396C007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eastAsia="zh-CN"/>
        </w:rPr>
      </w:pPr>
    </w:p>
    <w:p w14:paraId="3245D9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eastAsia="zh-CN"/>
        </w:rPr>
      </w:pPr>
    </w:p>
    <w:p w14:paraId="76A40CE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eastAsia="zh-CN"/>
        </w:rPr>
      </w:pPr>
    </w:p>
    <w:p w14:paraId="2AC61B3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eastAsia="zh-CN"/>
        </w:rPr>
      </w:pPr>
    </w:p>
    <w:p w14:paraId="48F4FB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eastAsia="zh-CN"/>
        </w:rPr>
      </w:pPr>
    </w:p>
    <w:p w14:paraId="04E9F3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eastAsia="zh-CN"/>
        </w:rPr>
      </w:pPr>
    </w:p>
    <w:p w14:paraId="366FE51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eastAsia="zh-CN"/>
        </w:rPr>
      </w:pPr>
    </w:p>
    <w:p w14:paraId="0AC2775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eastAsia="zh-CN"/>
        </w:rPr>
      </w:pPr>
    </w:p>
    <w:p w14:paraId="77D315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eastAsia="zh-CN"/>
        </w:rPr>
      </w:pPr>
    </w:p>
    <w:p w14:paraId="6D53F0A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eastAsia="zh-CN"/>
        </w:rPr>
      </w:pPr>
    </w:p>
    <w:p w14:paraId="43EA46C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eastAsia="zh-CN"/>
        </w:rPr>
      </w:pPr>
    </w:p>
    <w:p w14:paraId="48B2EF5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eastAsia="zh-CN"/>
        </w:rPr>
      </w:pPr>
    </w:p>
    <w:p w14:paraId="5B1582D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eastAsia="zh-CN"/>
        </w:rPr>
      </w:pPr>
    </w:p>
    <w:p w14:paraId="4BE46E9E">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lang w:val="en-US" w:eastAsia="zh-CN"/>
        </w:rPr>
        <w:t>国务院新闻办公室：介绍金融支持经济高质量发展有关情况（新闻发布会文字实录节选）</w:t>
      </w:r>
    </w:p>
    <w:p w14:paraId="6C24335A">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9月24日，国务院新闻办公室召开新闻发布会，介绍金融支持经济高质量发展有关情况</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今年以来，</w:t>
      </w:r>
      <w:r>
        <w:rPr>
          <w:rFonts w:hint="eastAsia" w:ascii="仿宋_GB2312" w:hAnsi="仿宋_GB2312" w:eastAsia="仿宋_GB2312" w:cs="仿宋_GB2312"/>
          <w:sz w:val="32"/>
          <w:szCs w:val="32"/>
          <w:u w:val="none"/>
          <w:lang w:val="en-US" w:eastAsia="zh-CN"/>
        </w:rPr>
        <w:t>中国</w:t>
      </w:r>
      <w:r>
        <w:rPr>
          <w:rFonts w:hint="default" w:ascii="仿宋_GB2312" w:hAnsi="仿宋_GB2312" w:eastAsia="仿宋_GB2312" w:cs="仿宋_GB2312"/>
          <w:sz w:val="32"/>
          <w:szCs w:val="32"/>
          <w:u w:val="none"/>
          <w:lang w:val="en-US" w:eastAsia="zh-CN"/>
        </w:rPr>
        <w:t>人民银行坚持金融服务实体经济的根本宗旨，坚持支持性的货币政策立场和政策取向，在2月、5月、7月先后三次实施了比较重大的货币政策调整。</w:t>
      </w:r>
      <w:r>
        <w:rPr>
          <w:rFonts w:hint="eastAsia" w:ascii="仿宋_GB2312" w:hAnsi="仿宋_GB2312" w:eastAsia="仿宋_GB2312" w:cs="仿宋_GB2312"/>
          <w:sz w:val="32"/>
          <w:szCs w:val="32"/>
          <w:u w:val="none"/>
          <w:lang w:val="en-US" w:eastAsia="zh-CN"/>
        </w:rPr>
        <w:t>其</w:t>
      </w:r>
      <w:r>
        <w:rPr>
          <w:rFonts w:hint="default" w:ascii="仿宋_GB2312" w:hAnsi="仿宋_GB2312" w:eastAsia="仿宋_GB2312" w:cs="仿宋_GB2312"/>
          <w:sz w:val="32"/>
          <w:szCs w:val="32"/>
          <w:u w:val="none"/>
          <w:lang w:val="en-US" w:eastAsia="zh-CN"/>
        </w:rPr>
        <w:t>成效不断显现，</w:t>
      </w:r>
      <w:r>
        <w:rPr>
          <w:rFonts w:hint="default" w:ascii="仿宋_GB2312" w:hAnsi="仿宋_GB2312" w:eastAsia="仿宋_GB2312" w:cs="仿宋_GB2312"/>
          <w:sz w:val="32"/>
          <w:szCs w:val="32"/>
          <w:u w:val="single"/>
          <w:lang w:val="en-US" w:eastAsia="zh-CN"/>
        </w:rPr>
        <w:t>8月末社会融资规模同比增长8.1%，人民币贷款同比增长8.5%，高于名义GDP增速约4个百分点，融资成本也处于历史的低位</w:t>
      </w:r>
      <w:r>
        <w:rPr>
          <w:rFonts w:hint="default" w:ascii="仿宋_GB2312" w:hAnsi="仿宋_GB2312" w:eastAsia="仿宋_GB2312" w:cs="仿宋_GB2312"/>
          <w:sz w:val="32"/>
          <w:szCs w:val="32"/>
          <w:u w:val="none"/>
          <w:lang w:val="en-US" w:eastAsia="zh-CN"/>
        </w:rPr>
        <w:t>。</w:t>
      </w:r>
    </w:p>
    <w:p w14:paraId="7304B7E5">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同时，今年以来，国家金融监督管理总局</w:t>
      </w:r>
      <w:r>
        <w:rPr>
          <w:rFonts w:hint="default" w:ascii="仿宋_GB2312" w:hAnsi="仿宋_GB2312" w:eastAsia="仿宋_GB2312" w:cs="仿宋_GB2312"/>
          <w:sz w:val="32"/>
          <w:szCs w:val="32"/>
          <w:u w:val="none"/>
          <w:lang w:val="en-US" w:eastAsia="zh-CN"/>
        </w:rPr>
        <w:t>坚决贯彻落实党中央、国务院重大决策部署，主动作为、事不避难，统筹推进</w:t>
      </w:r>
      <w:r>
        <w:rPr>
          <w:rFonts w:hint="default" w:ascii="仿宋_GB2312" w:hAnsi="仿宋_GB2312" w:eastAsia="仿宋_GB2312" w:cs="仿宋_GB2312"/>
          <w:b/>
          <w:bCs/>
          <w:sz w:val="32"/>
          <w:szCs w:val="32"/>
          <w:u w:val="none"/>
          <w:lang w:val="en-US" w:eastAsia="zh-CN"/>
        </w:rPr>
        <w:t>防风险、强监管、促发展三大重点任务</w:t>
      </w:r>
      <w:r>
        <w:rPr>
          <w:rFonts w:hint="default" w:ascii="仿宋_GB2312" w:hAnsi="仿宋_GB2312" w:eastAsia="仿宋_GB2312" w:cs="仿宋_GB2312"/>
          <w:sz w:val="32"/>
          <w:szCs w:val="32"/>
          <w:u w:val="none"/>
          <w:lang w:val="en-US" w:eastAsia="zh-CN"/>
        </w:rPr>
        <w:t>，各项工作迈出坚实步伐。着力打通堵点卡点，提升经济金融适配性，</w:t>
      </w:r>
      <w:r>
        <w:rPr>
          <w:rFonts w:hint="default" w:ascii="仿宋_GB2312" w:hAnsi="仿宋_GB2312" w:eastAsia="仿宋_GB2312" w:cs="仿宋_GB2312"/>
          <w:sz w:val="32"/>
          <w:szCs w:val="32"/>
          <w:u w:val="single"/>
          <w:lang w:val="en-US" w:eastAsia="zh-CN"/>
        </w:rPr>
        <w:t>加大对重点领域和薄弱环节的金融服务力度。强化对“两重”“两新”的融资保障，大力支持因地制宜发展新质生产力。</w:t>
      </w:r>
      <w:r>
        <w:rPr>
          <w:rFonts w:hint="default" w:ascii="仿宋_GB2312" w:hAnsi="仿宋_GB2312" w:eastAsia="仿宋_GB2312" w:cs="仿宋_GB2312"/>
          <w:sz w:val="32"/>
          <w:szCs w:val="32"/>
          <w:u w:val="none"/>
          <w:lang w:val="en-US" w:eastAsia="zh-CN"/>
        </w:rPr>
        <w:t>截至今年8月末，高技术产业贷款、制造业中长期贷款同比分别增长13.2%、15.9%。</w:t>
      </w:r>
      <w:r>
        <w:rPr>
          <w:rFonts w:hint="default" w:ascii="仿宋_GB2312" w:hAnsi="仿宋_GB2312" w:eastAsia="仿宋_GB2312" w:cs="仿宋_GB2312"/>
          <w:sz w:val="32"/>
          <w:szCs w:val="32"/>
          <w:u w:val="single"/>
          <w:lang w:val="en-US" w:eastAsia="zh-CN"/>
        </w:rPr>
        <w:t>推动小微贷款增量扩面，一视同仁加大对民营企业的支持力度。普惠型小微企业贷款和民营企业贷款同比分别增长16.1%、9.1%。</w:t>
      </w:r>
    </w:p>
    <w:p w14:paraId="42326BB7">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来源：国务院新闻办公室</w:t>
      </w:r>
    </w:p>
    <w:p w14:paraId="5AA65A37">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u w:val="none"/>
          <w:lang w:val="en-US" w:eastAsia="zh-CN"/>
        </w:rPr>
      </w:pPr>
    </w:p>
    <w:p w14:paraId="76E68044">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国务院新闻办公室：介绍加大助企帮扶力度有关情况（新闻发布会文字实录节选）</w:t>
      </w:r>
    </w:p>
    <w:p w14:paraId="107EC1C9">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10月14日</w:t>
      </w:r>
      <w:r>
        <w:rPr>
          <w:rFonts w:hint="eastAsia" w:ascii="仿宋_GB2312" w:hAnsi="仿宋_GB2312" w:eastAsia="仿宋_GB2312" w:cs="仿宋_GB2312"/>
          <w:sz w:val="32"/>
          <w:szCs w:val="32"/>
          <w:u w:val="none"/>
          <w:lang w:val="en-US" w:eastAsia="zh-CN"/>
        </w:rPr>
        <w:t>，国务院新闻办公室召开新闻发布会，介绍加大助企帮扶力度有关情况：</w:t>
      </w:r>
      <w:r>
        <w:rPr>
          <w:rFonts w:hint="default" w:ascii="仿宋_GB2312" w:hAnsi="仿宋_GB2312" w:eastAsia="仿宋_GB2312" w:cs="仿宋_GB2312"/>
          <w:sz w:val="32"/>
          <w:szCs w:val="32"/>
          <w:u w:val="none"/>
          <w:lang w:val="en-US" w:eastAsia="zh-CN"/>
        </w:rPr>
        <w:t>国家金融监管总局（以下简称“金融监管总局”）按照党中央、国务院决策部署，特别是按照9月26日中央政治局会议精神，持续引导金融机构加大对实体经济的金融支持，不断优化对各类经营主体的金融服务。近期，特别围绕助企帮扶，出台了一系列的举措。这些举措的重点，就是要打通小微企业融资的堵点和卡点，优化营商环境，畅通融资渠道，力争做到服务不减、价格更优。</w:t>
      </w:r>
    </w:p>
    <w:p w14:paraId="15D6330B">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b/>
          <w:bCs/>
          <w:sz w:val="32"/>
          <w:szCs w:val="32"/>
          <w:u w:val="none"/>
          <w:lang w:val="en-US" w:eastAsia="zh-CN"/>
        </w:rPr>
        <w:t>第一项措施，优化无还本续贷政策，帮助经营主体缓解资金周转困难。</w:t>
      </w:r>
      <w:r>
        <w:rPr>
          <w:rFonts w:hint="default" w:ascii="仿宋_GB2312" w:hAnsi="仿宋_GB2312" w:eastAsia="仿宋_GB2312" w:cs="仿宋_GB2312"/>
          <w:sz w:val="32"/>
          <w:szCs w:val="32"/>
          <w:u w:val="none"/>
          <w:lang w:val="en-US" w:eastAsia="zh-CN"/>
        </w:rPr>
        <w:t>这项政策适用范围不仅包括小微企业，同时还</w:t>
      </w:r>
      <w:r>
        <w:rPr>
          <w:rFonts w:hint="default" w:ascii="仿宋_GB2312" w:hAnsi="仿宋_GB2312" w:eastAsia="仿宋_GB2312" w:cs="仿宋_GB2312"/>
          <w:sz w:val="32"/>
          <w:szCs w:val="32"/>
          <w:u w:val="single"/>
          <w:lang w:val="en-US" w:eastAsia="zh-CN"/>
        </w:rPr>
        <w:t>阶段性地扩大到中型企业</w:t>
      </w:r>
      <w:r>
        <w:rPr>
          <w:rFonts w:hint="default"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val="en-US" w:eastAsia="zh-CN"/>
        </w:rPr>
        <w:t>其中</w:t>
      </w:r>
      <w:r>
        <w:rPr>
          <w:rFonts w:hint="default"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single"/>
          <w:lang w:val="en-US" w:eastAsia="zh-CN"/>
        </w:rPr>
        <w:t>符合条件的续期贷款不能单独因为办理续贷这个因素下调贷款分类</w:t>
      </w:r>
      <w:r>
        <w:rPr>
          <w:rFonts w:hint="default" w:ascii="仿宋_GB2312" w:hAnsi="仿宋_GB2312" w:eastAsia="仿宋_GB2312" w:cs="仿宋_GB2312"/>
          <w:sz w:val="32"/>
          <w:szCs w:val="32"/>
          <w:u w:val="none"/>
          <w:lang w:val="en-US" w:eastAsia="zh-CN"/>
        </w:rPr>
        <w:t>。银行要加强风险管理，综合考量借款人的履约能力、担保等因素，合理确定续期贷款的风险分类。</w:t>
      </w:r>
    </w:p>
    <w:p w14:paraId="2CF5ACD7">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b/>
          <w:bCs/>
          <w:sz w:val="32"/>
          <w:szCs w:val="32"/>
          <w:u w:val="none"/>
          <w:lang w:val="en-US" w:eastAsia="zh-CN"/>
        </w:rPr>
        <w:t>第二项措施，会同国家发展改革委建立了支持小微企业的融资协调工作机制。</w:t>
      </w:r>
      <w:r>
        <w:rPr>
          <w:rFonts w:hint="default" w:ascii="仿宋_GB2312" w:hAnsi="仿宋_GB2312" w:eastAsia="仿宋_GB2312" w:cs="仿宋_GB2312"/>
          <w:sz w:val="32"/>
          <w:szCs w:val="32"/>
          <w:u w:val="none"/>
          <w:lang w:val="en-US" w:eastAsia="zh-CN"/>
        </w:rPr>
        <w:t>这项机制的核心是在区县层面建立工作专班，搭建起银企精准对接的桥梁。在企业端，全面了解辖内企业实际经营状况，做到“心中有数”，精准帮扶，切实解决企业的融资困难。在银行端，疏通信息传递和资金传导的堵点和卡点。希望依法合规经营、有真实的融资需求、信用状况良好的企业，都能通过这个机制获得发展所需要的资金。</w:t>
      </w:r>
      <w:r>
        <w:rPr>
          <w:rFonts w:hint="default" w:ascii="仿宋_GB2312" w:hAnsi="仿宋_GB2312" w:eastAsia="仿宋_GB2312" w:cs="仿宋_GB2312"/>
          <w:sz w:val="32"/>
          <w:szCs w:val="32"/>
          <w:u w:val="single"/>
          <w:lang w:val="en-US" w:eastAsia="zh-CN"/>
        </w:rPr>
        <w:t>而且，这个资金是没有中间环节的，是直达的，融资成本也是合适的</w:t>
      </w:r>
      <w:r>
        <w:rPr>
          <w:rFonts w:hint="default" w:ascii="仿宋_GB2312" w:hAnsi="仿宋_GB2312" w:eastAsia="仿宋_GB2312" w:cs="仿宋_GB2312"/>
          <w:sz w:val="32"/>
          <w:szCs w:val="32"/>
          <w:u w:val="none"/>
          <w:lang w:val="en-US" w:eastAsia="zh-CN"/>
        </w:rPr>
        <w:t>。</w:t>
      </w:r>
    </w:p>
    <w:p w14:paraId="2212600D">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b/>
          <w:bCs/>
          <w:sz w:val="32"/>
          <w:szCs w:val="32"/>
          <w:u w:val="none"/>
          <w:lang w:val="en-US" w:eastAsia="zh-CN"/>
        </w:rPr>
        <w:t>第三项措施，进一步发挥保险的保障作用。在工程建设、外贸出口等相关领域，推动履约保证保险、关税保证保险来替代保证金。</w:t>
      </w:r>
      <w:r>
        <w:rPr>
          <w:rFonts w:hint="default" w:ascii="仿宋_GB2312" w:hAnsi="仿宋_GB2312" w:eastAsia="仿宋_GB2312" w:cs="仿宋_GB2312"/>
          <w:sz w:val="32"/>
          <w:szCs w:val="32"/>
          <w:u w:val="none"/>
          <w:lang w:val="en-US" w:eastAsia="zh-CN"/>
        </w:rPr>
        <w:t>这项措施上半年已经帮助了52万家企业盘活存量资金，减少资金周转压力。同时，还推动出口信用保险公司采用“信用保障+保单融资”这种综合金融服务的方式，帮助众多出口企业减少后顾之忧。</w:t>
      </w:r>
    </w:p>
    <w:p w14:paraId="300EEABB">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b/>
          <w:bCs/>
          <w:sz w:val="32"/>
          <w:szCs w:val="32"/>
          <w:u w:val="none"/>
          <w:lang w:val="en-US" w:eastAsia="zh-CN"/>
        </w:rPr>
        <w:t>第四项措施，完善尽职免责制度。</w:t>
      </w:r>
      <w:r>
        <w:rPr>
          <w:rFonts w:hint="default" w:ascii="仿宋_GB2312" w:hAnsi="仿宋_GB2312" w:eastAsia="仿宋_GB2312" w:cs="仿宋_GB2312"/>
          <w:sz w:val="32"/>
          <w:szCs w:val="32"/>
          <w:u w:val="none"/>
          <w:lang w:val="en-US" w:eastAsia="zh-CN"/>
        </w:rPr>
        <w:t>提升小微企业金融服务的关键，就是要给基层的信贷人员松绑减负，营造尽职免责、鼓励担当的积极氛围。所以，</w:t>
      </w:r>
      <w:r>
        <w:rPr>
          <w:rFonts w:hint="default" w:ascii="仿宋_GB2312" w:hAnsi="仿宋_GB2312" w:eastAsia="仿宋_GB2312" w:cs="仿宋_GB2312"/>
          <w:sz w:val="32"/>
          <w:szCs w:val="32"/>
          <w:u w:val="single"/>
          <w:lang w:val="en-US" w:eastAsia="zh-CN"/>
        </w:rPr>
        <w:t>近期金融监管总局对于原来的普惠信贷尽职免责通知作了进一步修订，明确了各类免责的情形</w:t>
      </w:r>
      <w:r>
        <w:rPr>
          <w:rFonts w:hint="default" w:ascii="仿宋_GB2312" w:hAnsi="仿宋_GB2312" w:eastAsia="仿宋_GB2312" w:cs="仿宋_GB2312"/>
          <w:sz w:val="32"/>
          <w:szCs w:val="32"/>
          <w:u w:val="none"/>
          <w:lang w:val="en-US" w:eastAsia="zh-CN"/>
        </w:rPr>
        <w:t>。对于基本履行了岗位职责，仅有轻微过失的人员，可以减责或者免责。</w:t>
      </w:r>
      <w:r>
        <w:rPr>
          <w:rFonts w:hint="eastAsia" w:ascii="仿宋_GB2312" w:hAnsi="仿宋_GB2312" w:eastAsia="仿宋_GB2312" w:cs="仿宋_GB2312"/>
          <w:sz w:val="32"/>
          <w:szCs w:val="32"/>
          <w:u w:val="single"/>
          <w:lang w:val="en-US" w:eastAsia="zh-CN"/>
        </w:rPr>
        <w:t>目前</w:t>
      </w:r>
      <w:r>
        <w:rPr>
          <w:rFonts w:hint="default" w:ascii="仿宋_GB2312" w:hAnsi="仿宋_GB2312" w:eastAsia="仿宋_GB2312" w:cs="仿宋_GB2312"/>
          <w:sz w:val="32"/>
          <w:szCs w:val="32"/>
          <w:u w:val="single"/>
          <w:lang w:val="en-US" w:eastAsia="zh-CN"/>
        </w:rPr>
        <w:t>了解到，很多银行都已经按照监管要求，细化并且完善了内部规定，免责人数和比例都有上升</w:t>
      </w:r>
      <w:r>
        <w:rPr>
          <w:rFonts w:hint="default" w:ascii="仿宋_GB2312" w:hAnsi="仿宋_GB2312" w:eastAsia="仿宋_GB2312" w:cs="仿宋_GB2312"/>
          <w:sz w:val="32"/>
          <w:szCs w:val="32"/>
          <w:u w:val="none"/>
          <w:lang w:val="en-US" w:eastAsia="zh-CN"/>
        </w:rPr>
        <w:t>。</w:t>
      </w:r>
    </w:p>
    <w:p w14:paraId="2D350AE8">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此外，</w:t>
      </w:r>
      <w:r>
        <w:rPr>
          <w:rFonts w:hint="default" w:ascii="仿宋_GB2312" w:hAnsi="仿宋_GB2312" w:eastAsia="仿宋_GB2312" w:cs="仿宋_GB2312"/>
          <w:b/>
          <w:bCs/>
          <w:sz w:val="32"/>
          <w:szCs w:val="32"/>
          <w:u w:val="none"/>
          <w:lang w:val="en-US" w:eastAsia="zh-CN"/>
        </w:rPr>
        <w:t>监管工作更加突出精准监管</w:t>
      </w:r>
      <w:r>
        <w:rPr>
          <w:rFonts w:hint="default" w:ascii="仿宋_GB2312" w:hAnsi="仿宋_GB2312" w:eastAsia="仿宋_GB2312" w:cs="仿宋_GB2312"/>
          <w:sz w:val="32"/>
          <w:szCs w:val="32"/>
          <w:u w:val="none"/>
          <w:lang w:val="en-US" w:eastAsia="zh-CN"/>
        </w:rPr>
        <w:t>。金融监管总局在依法监管、全面监管的前提下，</w:t>
      </w:r>
      <w:r>
        <w:rPr>
          <w:rFonts w:hint="default" w:ascii="仿宋_GB2312" w:hAnsi="仿宋_GB2312" w:eastAsia="仿宋_GB2312" w:cs="仿宋_GB2312"/>
          <w:sz w:val="32"/>
          <w:szCs w:val="32"/>
          <w:u w:val="single"/>
          <w:lang w:val="en-US" w:eastAsia="zh-CN"/>
        </w:rPr>
        <w:t>对于服务小微企业等普惠金融领域的一般性、操作性风险，会更多采取政策指导、风险提示、督促整改等柔性包容的监管措施</w:t>
      </w:r>
      <w:r>
        <w:rPr>
          <w:rFonts w:hint="default" w:ascii="仿宋_GB2312" w:hAnsi="仿宋_GB2312" w:eastAsia="仿宋_GB2312" w:cs="仿宋_GB2312"/>
          <w:sz w:val="32"/>
          <w:szCs w:val="32"/>
          <w:u w:val="none"/>
          <w:lang w:val="en-US" w:eastAsia="zh-CN"/>
        </w:rPr>
        <w:t>，寓监管于服务，让监管更有温度，提高金融机构落实助企帮扶政策的积极性和主动性，共同为企业发展营造良好环境。</w:t>
      </w:r>
    </w:p>
    <w:p w14:paraId="75B7CDF7">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来源：国务院新闻办公室</w:t>
      </w:r>
    </w:p>
    <w:p w14:paraId="32BDE54A">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u w:val="none"/>
          <w:lang w:val="en-US" w:eastAsia="zh-CN"/>
        </w:rPr>
      </w:pPr>
    </w:p>
    <w:p w14:paraId="1E416FDD">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中国人民银行：降低存款准备金率和政策利率</w:t>
      </w:r>
    </w:p>
    <w:p w14:paraId="3CF2A475">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国务院新闻办公室9月24日举行新闻发布会，介绍金融支持经济高质量发展有关情况。中国人民银行（以下简称“人民银行”）行长潘功胜在会上宣布，降低存款准备金率和政策利率。潘功胜表示，</w:t>
      </w:r>
      <w:r>
        <w:rPr>
          <w:rFonts w:hint="eastAsia" w:ascii="仿宋_GB2312" w:hAnsi="仿宋_GB2312" w:eastAsia="仿宋_GB2312" w:cs="仿宋_GB2312"/>
          <w:sz w:val="32"/>
          <w:szCs w:val="32"/>
          <w:u w:val="single"/>
          <w:lang w:val="en-US" w:eastAsia="zh-CN"/>
        </w:rPr>
        <w:t>近期将下调存款准备金率0.5个百分点，向金融市场提供长期流动性约1万亿元。</w:t>
      </w:r>
    </w:p>
    <w:p w14:paraId="301E241C">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目前，金融机构加权平均存款准备金率为7%。其中，大型银行目前是8.5%，降准落地后将降至8%；中型银行目前是6.5%，降准落地后将降至6%。农村金融机构在几年前已执行5%的存款准备金率，此次不在调整范畴。降准政策实施后，银行业平均存款准备金率约为6.6%，与国际上主要经济体相比仍有一定空间。</w:t>
      </w:r>
      <w:r>
        <w:rPr>
          <w:rFonts w:hint="eastAsia" w:ascii="仿宋_GB2312" w:hAnsi="仿宋_GB2312" w:eastAsia="仿宋_GB2312" w:cs="仿宋_GB2312"/>
          <w:sz w:val="32"/>
          <w:szCs w:val="32"/>
          <w:u w:val="single"/>
          <w:lang w:val="en-US" w:eastAsia="zh-CN"/>
        </w:rPr>
        <w:t>在存款准备金率的工具上，到年底之前还有三个月时间，人民银行也会根据情况，有可能进一步再下调0.25-0.5个百分点。</w:t>
      </w:r>
    </w:p>
    <w:p w14:paraId="4E861AA3">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来源：中国证券网</w:t>
      </w:r>
    </w:p>
    <w:p w14:paraId="21EFB784">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179DF6BB">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国家金融监督管理总局：优化“无还本续贷”政策 阶段性扩大到中型企业</w:t>
      </w:r>
    </w:p>
    <w:p w14:paraId="6853AA1C">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9月24日，国务院新闻办公室就金融支持经济高质量发展有关情况举行新闻发布会。会上，国家金融监督管理总局</w:t>
      </w:r>
      <w:r>
        <w:rPr>
          <w:rFonts w:hint="eastAsia" w:ascii="仿宋_GB2312" w:hAnsi="仿宋_GB2312" w:eastAsia="仿宋_GB2312" w:cs="仿宋_GB2312"/>
          <w:sz w:val="32"/>
          <w:szCs w:val="32"/>
          <w:lang w:val="en-US" w:eastAsia="zh-CN"/>
        </w:rPr>
        <w:t>（以下简称“金融监管总局”）</w:t>
      </w:r>
      <w:r>
        <w:rPr>
          <w:rFonts w:hint="default" w:ascii="仿宋_GB2312" w:hAnsi="仿宋_GB2312" w:eastAsia="仿宋_GB2312" w:cs="仿宋_GB2312"/>
          <w:sz w:val="32"/>
          <w:szCs w:val="32"/>
          <w:lang w:val="en-US" w:eastAsia="zh-CN"/>
        </w:rPr>
        <w:t>局长李云泽表示，近年来，金融监管总局会同人民银行持续加强政策引领，协同多方发力，改进小微企业的融资服务。</w:t>
      </w:r>
      <w:r>
        <w:rPr>
          <w:rFonts w:hint="default" w:ascii="仿宋_GB2312" w:hAnsi="仿宋_GB2312" w:eastAsia="仿宋_GB2312" w:cs="仿宋_GB2312"/>
          <w:sz w:val="32"/>
          <w:szCs w:val="32"/>
          <w:u w:val="single"/>
          <w:lang w:val="en-US" w:eastAsia="zh-CN"/>
        </w:rPr>
        <w:t>截至今年8月末，全国普惠型小微企业贷款余额达到了31.9万亿元，较2017年末翻了两番，平均利率也累计下降了3.5个百分点。</w:t>
      </w:r>
    </w:p>
    <w:p w14:paraId="17014C46">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为进一步打通中小微企业融资的堵点和卡点，金融监管总局将重点从两个方面采取措施。</w:t>
      </w:r>
    </w:p>
    <w:p w14:paraId="348CDE80">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第一方面，会同国家发改委建立支持小微企业融资协调的工作机制。</w:t>
      </w:r>
      <w:r>
        <w:rPr>
          <w:rFonts w:hint="default" w:ascii="仿宋_GB2312" w:hAnsi="仿宋_GB2312" w:eastAsia="仿宋_GB2312" w:cs="仿宋_GB2312"/>
          <w:sz w:val="32"/>
          <w:szCs w:val="32"/>
          <w:lang w:val="en-US" w:eastAsia="zh-CN"/>
        </w:rPr>
        <w:t>该机制借鉴前期房地产融资协调机制的经验，在区县层面建立工作专班。专班要“两手牵”：一手牵企业，开展千企万户大走访活动，深入了解小微企业经营情况和实际困难，尤其是全面摸排小微企业的融资需求；一手牵银行，把依法合规经营、有真实融资需求、信用状况良好的小微企业，推荐给银行机构。银行机构要及时对接，原则上一个月内完成授信审批，确保信贷资金直达小微企业，真正打通惠企利民的“最后一公里”。</w:t>
      </w:r>
    </w:p>
    <w:p w14:paraId="3A09DF57">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第二方面，优化无还本续贷政策。</w:t>
      </w:r>
      <w:r>
        <w:rPr>
          <w:rFonts w:hint="default" w:ascii="仿宋_GB2312" w:hAnsi="仿宋_GB2312" w:eastAsia="仿宋_GB2312" w:cs="仿宋_GB2312"/>
          <w:sz w:val="32"/>
          <w:szCs w:val="32"/>
          <w:lang w:val="en-US" w:eastAsia="zh-CN"/>
        </w:rPr>
        <w:t>2014年，原银监会发布小微企业的续贷政策，俗称“36号文”，明确符合条件的小微企业，贷款到期后仍有融资需求的，可申请续贷。小微企业贷款到期无须偿还本金即可接续融资，该业务也被称为“无还本续贷”。李云泽介绍，将从三个方面对续贷政策进一步优化。</w:t>
      </w:r>
    </w:p>
    <w:p w14:paraId="2278CAA6">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一是</w:t>
      </w:r>
      <w:r>
        <w:rPr>
          <w:rFonts w:hint="default" w:ascii="仿宋_GB2312" w:hAnsi="仿宋_GB2312" w:eastAsia="仿宋_GB2312" w:cs="仿宋_GB2312"/>
          <w:sz w:val="32"/>
          <w:szCs w:val="32"/>
          <w:u w:val="single"/>
          <w:lang w:val="en-US" w:eastAsia="zh-CN"/>
        </w:rPr>
        <w:t>将续贷对象由原来的部分小微企业扩展至所有小微企业</w:t>
      </w:r>
      <w:r>
        <w:rPr>
          <w:rFonts w:hint="default" w:ascii="仿宋_GB2312" w:hAnsi="仿宋_GB2312" w:eastAsia="仿宋_GB2312" w:cs="仿宋_GB2312"/>
          <w:sz w:val="32"/>
          <w:szCs w:val="32"/>
          <w:lang w:val="en-US" w:eastAsia="zh-CN"/>
        </w:rPr>
        <w:t>，贷款到期后有真实融资需求，同时又存在资金困难的小微企业，符合条件的均可申请续贷支持。</w:t>
      </w:r>
    </w:p>
    <w:p w14:paraId="21E39827">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二是</w:t>
      </w:r>
      <w:r>
        <w:rPr>
          <w:rFonts w:hint="default" w:ascii="仿宋_GB2312" w:hAnsi="仿宋_GB2312" w:eastAsia="仿宋_GB2312" w:cs="仿宋_GB2312"/>
          <w:sz w:val="32"/>
          <w:szCs w:val="32"/>
          <w:u w:val="single"/>
          <w:lang w:val="en-US" w:eastAsia="zh-CN"/>
        </w:rPr>
        <w:t>将续贷政策阶段性扩大到中型企业，期限暂定为三年</w:t>
      </w:r>
      <w:r>
        <w:rPr>
          <w:rFonts w:hint="default" w:ascii="仿宋_GB2312" w:hAnsi="仿宋_GB2312" w:eastAsia="仿宋_GB2312" w:cs="仿宋_GB2312"/>
          <w:sz w:val="32"/>
          <w:szCs w:val="32"/>
          <w:lang w:val="en-US" w:eastAsia="zh-CN"/>
        </w:rPr>
        <w:t>，也就是对2027年9月30日前到期的中型企业流动资金贷款，都可以参照小微企业的续贷政策。</w:t>
      </w:r>
    </w:p>
    <w:p w14:paraId="1EF1486E">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三是</w:t>
      </w:r>
      <w:r>
        <w:rPr>
          <w:rFonts w:hint="default" w:ascii="仿宋_GB2312" w:hAnsi="仿宋_GB2312" w:eastAsia="仿宋_GB2312" w:cs="仿宋_GB2312"/>
          <w:sz w:val="32"/>
          <w:szCs w:val="32"/>
          <w:u w:val="single"/>
          <w:lang w:val="en-US" w:eastAsia="zh-CN"/>
        </w:rPr>
        <w:t>调整风险分类标准，对依法合规、持续经营、信用良好企业的贷款办理续期，不因续贷单独下调风险分类</w:t>
      </w:r>
      <w:r>
        <w:rPr>
          <w:rFonts w:hint="default" w:ascii="仿宋_GB2312" w:hAnsi="仿宋_GB2312" w:eastAsia="仿宋_GB2312" w:cs="仿宋_GB2312"/>
          <w:sz w:val="32"/>
          <w:szCs w:val="32"/>
          <w:lang w:val="en-US" w:eastAsia="zh-CN"/>
        </w:rPr>
        <w:t>。</w:t>
      </w:r>
    </w:p>
    <w:p w14:paraId="04149435">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李云泽表示，为确保中小微企业信贷的相关支持政策真正实施到位，特别是解决基层信贷人员开展中小微企业授信业务的顾虑，</w:t>
      </w:r>
      <w:r>
        <w:rPr>
          <w:rFonts w:hint="default" w:ascii="仿宋_GB2312" w:hAnsi="仿宋_GB2312" w:eastAsia="仿宋_GB2312" w:cs="仿宋_GB2312"/>
          <w:sz w:val="32"/>
          <w:szCs w:val="32"/>
          <w:u w:val="single"/>
          <w:lang w:val="en-US" w:eastAsia="zh-CN"/>
        </w:rPr>
        <w:t>金融监管总局近期发布了普惠信贷尽职免责制度，细化尽职免责相关情形</w:t>
      </w:r>
      <w:r>
        <w:rPr>
          <w:rFonts w:hint="default" w:ascii="仿宋_GB2312" w:hAnsi="仿宋_GB2312" w:eastAsia="仿宋_GB2312" w:cs="仿宋_GB2312"/>
          <w:sz w:val="32"/>
          <w:szCs w:val="32"/>
          <w:lang w:val="en-US" w:eastAsia="zh-CN"/>
        </w:rPr>
        <w:t>，以充分调动基层工作人员的积极性和主动性，努力形成敢贷、愿贷、能贷、会贷的长效机制。</w:t>
      </w:r>
    </w:p>
    <w:p w14:paraId="01941A85">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来源：红星新闻</w:t>
      </w:r>
    </w:p>
    <w:p w14:paraId="5E83209A">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0088AD38">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国家金融监督管理总局：将对国有六大行增加核心资本</w:t>
      </w:r>
    </w:p>
    <w:p w14:paraId="4B4D62A6">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bookmarkStart w:id="1" w:name="_GoBack"/>
      <w:bookmarkEnd w:id="1"/>
      <w:r>
        <w:rPr>
          <w:rFonts w:hint="default" w:ascii="仿宋_GB2312" w:hAnsi="仿宋_GB2312" w:eastAsia="仿宋_GB2312" w:cs="仿宋_GB2312"/>
          <w:sz w:val="32"/>
          <w:szCs w:val="32"/>
          <w:lang w:val="en-US" w:eastAsia="zh-CN"/>
        </w:rPr>
        <w:t>国家金融监督管理总局局长李云泽9月24日宣布，</w:t>
      </w:r>
      <w:r>
        <w:rPr>
          <w:rFonts w:hint="default" w:ascii="仿宋_GB2312" w:hAnsi="仿宋_GB2312" w:eastAsia="仿宋_GB2312" w:cs="仿宋_GB2312"/>
          <w:sz w:val="32"/>
          <w:szCs w:val="32"/>
          <w:u w:val="single"/>
          <w:lang w:val="en-US" w:eastAsia="zh-CN"/>
        </w:rPr>
        <w:t>中国计划对六家大型商业银行增加核心一级资本</w:t>
      </w:r>
      <w:r>
        <w:rPr>
          <w:rFonts w:hint="default" w:ascii="仿宋_GB2312" w:hAnsi="仿宋_GB2312" w:eastAsia="仿宋_GB2312" w:cs="仿宋_GB2312"/>
          <w:sz w:val="32"/>
          <w:szCs w:val="32"/>
          <w:u w:val="none"/>
          <w:lang w:val="en-US" w:eastAsia="zh-CN"/>
        </w:rPr>
        <w:t>，以巩固提升大型商业银行稳健经营发展的能力，</w:t>
      </w:r>
      <w:r>
        <w:rPr>
          <w:rFonts w:hint="default" w:ascii="仿宋_GB2312" w:hAnsi="仿宋_GB2312" w:eastAsia="仿宋_GB2312" w:cs="仿宋_GB2312"/>
          <w:sz w:val="32"/>
          <w:szCs w:val="32"/>
          <w:u w:val="single"/>
          <w:lang w:val="en-US" w:eastAsia="zh-CN"/>
        </w:rPr>
        <w:t>但未进一步透露增资数额</w:t>
      </w:r>
      <w:r>
        <w:rPr>
          <w:rFonts w:hint="default" w:ascii="仿宋_GB2312" w:hAnsi="仿宋_GB2312" w:eastAsia="仿宋_GB2312" w:cs="仿宋_GB2312"/>
          <w:sz w:val="32"/>
          <w:szCs w:val="32"/>
          <w:lang w:val="en-US" w:eastAsia="zh-CN"/>
        </w:rPr>
        <w:t>。</w:t>
      </w:r>
    </w:p>
    <w:p w14:paraId="2AF3608D">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李云泽指出，当前中国大型商业银行经营发展稳健，资产质量稳定，主要的监管指标都处于健康区间。李云泽表示，近年来大型商业银行主要依靠自身利润留存的方式来增加资本，但随着银行减费让利的力度不断加大，净息差有所收窄、利润增速逐步放缓，需要统筹内部和外部等多种渠道来充实资本。李云泽表示，将按照</w:t>
      </w:r>
      <w:r>
        <w:rPr>
          <w:rFonts w:hint="default" w:ascii="仿宋_GB2312" w:hAnsi="仿宋_GB2312" w:eastAsia="仿宋_GB2312" w:cs="仿宋_GB2312"/>
          <w:sz w:val="32"/>
          <w:szCs w:val="32"/>
          <w:u w:val="single"/>
          <w:lang w:val="en-US" w:eastAsia="zh-CN"/>
        </w:rPr>
        <w:t>统筹推进、分期分批、一行一策</w:t>
      </w:r>
      <w:r>
        <w:rPr>
          <w:rFonts w:hint="default" w:ascii="仿宋_GB2312" w:hAnsi="仿宋_GB2312" w:eastAsia="仿宋_GB2312" w:cs="仿宋_GB2312"/>
          <w:sz w:val="32"/>
          <w:szCs w:val="32"/>
          <w:lang w:val="en-US" w:eastAsia="zh-CN"/>
        </w:rPr>
        <w:t>的思路有序实施，旨在巩固提升大型商业银行稳健经营发展的能力，更好地发挥服务实体经济的主力军作用。</w:t>
      </w:r>
    </w:p>
    <w:p w14:paraId="563692D3">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据媒体报道，截至8月30日晚间，六家国有大行今年中期“成绩单”已全部揭晓。2024年上半年，国有六大行合计实现归属于母公司股东的净利润6833.88亿元，营收合计17995.11亿元。截至今年6月末，其中五家银行不良贷款率较上年末实现下降。</w:t>
      </w:r>
    </w:p>
    <w:p w14:paraId="120EF608">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今年上半年，国有六大行的资产规模均实现稳步增长，其中工商银行的资产规模依旧居首，较上年末增长5.4%至47.12万亿元。农业银行、建设银行资产规模也超40万亿元，分别为41.98万亿元、40.29万亿元。</w:t>
      </w:r>
    </w:p>
    <w:p w14:paraId="03468E38">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来源：中国证券网</w:t>
      </w:r>
    </w:p>
    <w:p w14:paraId="1C55E360">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240DC698">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国家金融监督管理总局</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eastAsia="zh-CN"/>
        </w:rPr>
        <w:t>李云泽在2024金融街论坛年会开幕式暨全体大会上的主旨演讲</w:t>
      </w:r>
    </w:p>
    <w:p w14:paraId="58331D5D">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10月18日</w:t>
      </w:r>
      <w:r>
        <w:rPr>
          <w:rFonts w:hint="eastAsia" w:ascii="仿宋_GB2312" w:hAnsi="仿宋_GB2312" w:eastAsia="仿宋_GB2312" w:cs="仿宋_GB2312"/>
          <w:b w:val="0"/>
          <w:bCs w:val="0"/>
          <w:sz w:val="32"/>
          <w:szCs w:val="32"/>
          <w:lang w:val="en-US" w:eastAsia="zh-CN"/>
        </w:rPr>
        <w:t>，国家金融监督管理总局局长李云泽在2024金融街论坛年会开幕式暨全体大会上发表主旨演讲。现将演讲内容节选如下：</w:t>
      </w:r>
    </w:p>
    <w:p w14:paraId="1E533FC1">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第一，着力优化信贷管理模式，有效提升服务实体经济能力。</w:t>
      </w:r>
      <w:r>
        <w:rPr>
          <w:rFonts w:hint="default" w:ascii="仿宋_GB2312" w:hAnsi="仿宋_GB2312" w:eastAsia="仿宋_GB2312" w:cs="仿宋_GB2312"/>
          <w:sz w:val="32"/>
          <w:szCs w:val="32"/>
          <w:lang w:val="en-US" w:eastAsia="zh-CN"/>
        </w:rPr>
        <w:t>今年以来，国家金融监督管理总局会同住建、发改等部门，先后建立城市房地产融资协调机制、支持小微企业融资协调工作机制，就是</w:t>
      </w:r>
      <w:r>
        <w:rPr>
          <w:rFonts w:hint="default" w:ascii="仿宋_GB2312" w:hAnsi="仿宋_GB2312" w:eastAsia="仿宋_GB2312" w:cs="仿宋_GB2312"/>
          <w:sz w:val="32"/>
          <w:szCs w:val="32"/>
          <w:u w:val="single"/>
          <w:lang w:val="en-US" w:eastAsia="zh-CN"/>
        </w:rPr>
        <w:t>通过强化央地联动和部门协同，从供需两端发力打通信贷投放堵点卡点，统筹解决企业融资难和银行放贷难问题</w:t>
      </w:r>
      <w:r>
        <w:rPr>
          <w:rFonts w:hint="default" w:ascii="仿宋_GB2312" w:hAnsi="仿宋_GB2312" w:eastAsia="仿宋_GB2312" w:cs="仿宋_GB2312"/>
          <w:sz w:val="32"/>
          <w:szCs w:val="32"/>
          <w:lang w:val="en-US" w:eastAsia="zh-CN"/>
        </w:rPr>
        <w:t>。在以间接融资为主的国情下，如何更好发挥银行主力军作用，关键是要做到</w:t>
      </w:r>
      <w:r>
        <w:rPr>
          <w:rFonts w:hint="default" w:ascii="仿宋_GB2312" w:hAnsi="仿宋_GB2312" w:eastAsia="仿宋_GB2312" w:cs="仿宋_GB2312"/>
          <w:b/>
          <w:bCs/>
          <w:sz w:val="32"/>
          <w:szCs w:val="32"/>
          <w:lang w:val="en-US" w:eastAsia="zh-CN"/>
        </w:rPr>
        <w:t>“善贷”“愿贷”“敢贷”</w:t>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u w:val="single"/>
          <w:lang w:val="en-US" w:eastAsia="zh-CN"/>
        </w:rPr>
        <w:t>“善贷”，就是要加强信贷能力建设，善于发现并满足市场需求。</w:t>
      </w:r>
      <w:r>
        <w:rPr>
          <w:rFonts w:hint="default" w:ascii="仿宋_GB2312" w:hAnsi="仿宋_GB2312" w:eastAsia="仿宋_GB2312" w:cs="仿宋_GB2312"/>
          <w:sz w:val="32"/>
          <w:szCs w:val="32"/>
          <w:lang w:val="en-US" w:eastAsia="zh-CN"/>
        </w:rPr>
        <w:t>既要紧扣新一轮科技革命和产业变革的需要，推动信贷管理流程再造和数字化智能化转型，又要用好灵活务实的传统手段，实现需求深度把握、风险全息画像、流程高效衔接。</w:t>
      </w:r>
      <w:r>
        <w:rPr>
          <w:rFonts w:hint="default" w:ascii="仿宋_GB2312" w:hAnsi="仿宋_GB2312" w:eastAsia="仿宋_GB2312" w:cs="仿宋_GB2312"/>
          <w:sz w:val="32"/>
          <w:szCs w:val="32"/>
          <w:u w:val="single"/>
          <w:lang w:val="en-US" w:eastAsia="zh-CN"/>
        </w:rPr>
        <w:t>“愿贷”，就是要健全激励约束机制，促进形成放贷内生动力。</w:t>
      </w:r>
      <w:r>
        <w:rPr>
          <w:rFonts w:hint="default" w:ascii="仿宋_GB2312" w:hAnsi="仿宋_GB2312" w:eastAsia="仿宋_GB2312" w:cs="仿宋_GB2312"/>
          <w:sz w:val="32"/>
          <w:szCs w:val="32"/>
          <w:lang w:val="en-US" w:eastAsia="zh-CN"/>
        </w:rPr>
        <w:t>适应信贷增长由供给约束转向需求引领的变化，综合采取内部转移定价、经济资本分配、考核利润调整等措施手段，充分调动各层级贷款投放的积极性主动性。</w:t>
      </w:r>
      <w:r>
        <w:rPr>
          <w:rFonts w:hint="default" w:ascii="仿宋_GB2312" w:hAnsi="仿宋_GB2312" w:eastAsia="仿宋_GB2312" w:cs="仿宋_GB2312"/>
          <w:sz w:val="32"/>
          <w:szCs w:val="32"/>
          <w:u w:val="single"/>
          <w:lang w:val="en-US" w:eastAsia="zh-CN"/>
        </w:rPr>
        <w:t>“敢贷”，就是要落实尽职免责要求，切实解除后顾之忧。</w:t>
      </w:r>
      <w:r>
        <w:rPr>
          <w:rFonts w:hint="default" w:ascii="仿宋_GB2312" w:hAnsi="仿宋_GB2312" w:eastAsia="仿宋_GB2312" w:cs="仿宋_GB2312"/>
          <w:sz w:val="32"/>
          <w:szCs w:val="32"/>
          <w:lang w:val="en-US" w:eastAsia="zh-CN"/>
        </w:rPr>
        <w:t>金融与风险相伴相生，有风险并不等于失责，关键要看是否履职尽责。要加快制定实施操作性强的尽职免责细则，精准定责、合理免责，鼓励担当作为。</w:t>
      </w:r>
    </w:p>
    <w:p w14:paraId="78DBADA6">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第二，聚焦重点领域和薄弱环节，加大金融支持力度。</w:t>
      </w:r>
      <w:r>
        <w:rPr>
          <w:rFonts w:hint="default" w:ascii="仿宋_GB2312" w:hAnsi="仿宋_GB2312" w:eastAsia="仿宋_GB2312" w:cs="仿宋_GB2312"/>
          <w:sz w:val="32"/>
          <w:szCs w:val="32"/>
          <w:lang w:val="en-US" w:eastAsia="zh-CN"/>
        </w:rPr>
        <w:t>优化金融资源供给，助推扩大有效需求。高效服务“两重”“两新”。加大耐心资本培育力度，助推发展新质生产力。鼓励金融资产投资公司在支持科技创新方面发挥更大作用。</w:t>
      </w:r>
      <w:r>
        <w:rPr>
          <w:rFonts w:hint="default" w:ascii="仿宋_GB2312" w:hAnsi="仿宋_GB2312" w:eastAsia="仿宋_GB2312" w:cs="仿宋_GB2312"/>
          <w:sz w:val="32"/>
          <w:szCs w:val="32"/>
          <w:u w:val="single"/>
          <w:lang w:val="en-US" w:eastAsia="zh-CN"/>
        </w:rPr>
        <w:t>有效满足企业融资需求，助推小微企业纾困发展。</w:t>
      </w:r>
      <w:r>
        <w:rPr>
          <w:rFonts w:hint="default" w:ascii="仿宋_GB2312" w:hAnsi="仿宋_GB2312" w:eastAsia="仿宋_GB2312" w:cs="仿宋_GB2312"/>
          <w:sz w:val="32"/>
          <w:szCs w:val="32"/>
          <w:lang w:val="en-US" w:eastAsia="zh-CN"/>
        </w:rPr>
        <w:t>坚持“两个毫不动摇”，一视同仁加大对民营企业小微企业支持力度。按照“直达基层、快速便捷、利率适宜”目标，推动小微企业融资协调工作机制尽快落地见效。</w:t>
      </w:r>
      <w:r>
        <w:rPr>
          <w:rFonts w:hint="default" w:ascii="仿宋_GB2312" w:hAnsi="仿宋_GB2312" w:eastAsia="仿宋_GB2312" w:cs="仿宋_GB2312"/>
          <w:b/>
          <w:bCs/>
          <w:sz w:val="32"/>
          <w:szCs w:val="32"/>
          <w:u w:val="none"/>
          <w:lang w:val="en-US" w:eastAsia="zh-CN"/>
        </w:rPr>
        <w:t>加快落实中小微企业无还本续贷政策，扩大覆盖范围，降低“过桥”成本，切实提高企业获得感</w:t>
      </w:r>
      <w:r>
        <w:rPr>
          <w:rFonts w:hint="default" w:ascii="仿宋_GB2312" w:hAnsi="仿宋_GB2312" w:eastAsia="仿宋_GB2312" w:cs="仿宋_GB2312"/>
          <w:sz w:val="32"/>
          <w:szCs w:val="32"/>
          <w:lang w:val="en-US" w:eastAsia="zh-CN"/>
        </w:rPr>
        <w:t>。</w:t>
      </w:r>
    </w:p>
    <w:p w14:paraId="1DEA450E">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第三，统筹发展和安全，积极营造良好金融环境。</w:t>
      </w:r>
      <w:r>
        <w:rPr>
          <w:rFonts w:hint="default" w:ascii="仿宋_GB2312" w:hAnsi="仿宋_GB2312" w:eastAsia="仿宋_GB2312" w:cs="仿宋_GB2312"/>
          <w:sz w:val="32"/>
          <w:szCs w:val="32"/>
          <w:lang w:val="en-US" w:eastAsia="zh-CN"/>
        </w:rPr>
        <w:t>当前，重点领域风险正在稳步有序收敛，银行业保险业保持稳健运行，风险总体可控。我们将坚持在发展中化解风险，以高水平安全保障高质量发展。夯实可持续发展基础。</w:t>
      </w:r>
      <w:r>
        <w:rPr>
          <w:rFonts w:hint="default" w:ascii="仿宋_GB2312" w:hAnsi="仿宋_GB2312" w:eastAsia="仿宋_GB2312" w:cs="仿宋_GB2312"/>
          <w:sz w:val="32"/>
          <w:szCs w:val="32"/>
          <w:u w:val="single"/>
          <w:lang w:val="en-US" w:eastAsia="zh-CN"/>
        </w:rPr>
        <w:t>拓宽资本补充渠道，支持大型银行加快补充核心一级资本，拓展信贷增长空间</w:t>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u w:val="single"/>
          <w:lang w:val="en-US" w:eastAsia="zh-CN"/>
        </w:rPr>
        <w:t>深化信用信息共享</w:t>
      </w:r>
      <w:r>
        <w:rPr>
          <w:rFonts w:hint="default" w:ascii="仿宋_GB2312" w:hAnsi="仿宋_GB2312" w:eastAsia="仿宋_GB2312" w:cs="仿宋_GB2312"/>
          <w:sz w:val="32"/>
          <w:szCs w:val="32"/>
          <w:lang w:val="en-US" w:eastAsia="zh-CN"/>
        </w:rPr>
        <w:t>，促进银政企高效对接，完善风险分担补偿机制，严厉打击非法中介，着力优化金融服务生态。</w:t>
      </w:r>
      <w:r>
        <w:rPr>
          <w:rFonts w:hint="default" w:ascii="仿宋_GB2312" w:hAnsi="仿宋_GB2312" w:eastAsia="仿宋_GB2312" w:cs="仿宋_GB2312"/>
          <w:sz w:val="32"/>
          <w:szCs w:val="32"/>
          <w:u w:val="single"/>
          <w:lang w:val="en-US" w:eastAsia="zh-CN"/>
        </w:rPr>
        <w:t>有序推动中小金融机构改革化险</w:t>
      </w:r>
      <w:r>
        <w:rPr>
          <w:rFonts w:hint="default" w:ascii="仿宋_GB2312" w:hAnsi="仿宋_GB2312" w:eastAsia="仿宋_GB2312" w:cs="仿宋_GB2312"/>
          <w:sz w:val="32"/>
          <w:szCs w:val="32"/>
          <w:lang w:val="en-US" w:eastAsia="zh-CN"/>
        </w:rPr>
        <w:t>，把握好时度效，坚决防止风险外溢。</w:t>
      </w:r>
    </w:p>
    <w:p w14:paraId="13D775E3">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来源：国家金融监督管理总局</w:t>
      </w:r>
    </w:p>
    <w:p w14:paraId="195DEFCF">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0EF86B25">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中国民生银行首席经济学家：央行降准、降息同步落地会有哪些有利影响</w:t>
      </w:r>
    </w:p>
    <w:p w14:paraId="1911E03E">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w:t>
      </w:r>
      <w:r>
        <w:rPr>
          <w:rFonts w:hint="default" w:ascii="仿宋_GB2312" w:hAnsi="仿宋_GB2312" w:eastAsia="仿宋_GB2312" w:cs="仿宋_GB2312"/>
          <w:sz w:val="32"/>
          <w:szCs w:val="32"/>
          <w:lang w:val="en-US" w:eastAsia="zh-CN"/>
        </w:rPr>
        <w:t>民生银行首席经济学家温彬分析，</w:t>
      </w:r>
      <w:r>
        <w:rPr>
          <w:rFonts w:hint="default" w:ascii="仿宋_GB2312" w:hAnsi="仿宋_GB2312" w:eastAsia="仿宋_GB2312" w:cs="仿宋_GB2312"/>
          <w:b/>
          <w:bCs/>
          <w:sz w:val="32"/>
          <w:szCs w:val="32"/>
          <w:lang w:val="en-US" w:eastAsia="zh-CN"/>
        </w:rPr>
        <w:t>降准、降息同步落地，有助于降成本、稳信用，强化政策协同和呵护息差稳定</w:t>
      </w:r>
      <w:r>
        <w:rPr>
          <w:rFonts w:hint="default" w:ascii="仿宋_GB2312" w:hAnsi="仿宋_GB2312" w:eastAsia="仿宋_GB2312" w:cs="仿宋_GB2312"/>
          <w:sz w:val="32"/>
          <w:szCs w:val="32"/>
          <w:lang w:val="en-US" w:eastAsia="zh-CN"/>
        </w:rPr>
        <w:t>。降准的考量和影响，</w:t>
      </w:r>
      <w:r>
        <w:rPr>
          <w:rFonts w:hint="default" w:ascii="仿宋_GB2312" w:hAnsi="仿宋_GB2312" w:eastAsia="仿宋_GB2312" w:cs="仿宋_GB2312"/>
          <w:b/>
          <w:bCs/>
          <w:sz w:val="32"/>
          <w:szCs w:val="32"/>
          <w:lang w:val="en-US" w:eastAsia="zh-CN"/>
        </w:rPr>
        <w:t>一是</w:t>
      </w:r>
      <w:r>
        <w:rPr>
          <w:rFonts w:hint="default" w:ascii="仿宋_GB2312" w:hAnsi="仿宋_GB2312" w:eastAsia="仿宋_GB2312" w:cs="仿宋_GB2312"/>
          <w:sz w:val="32"/>
          <w:szCs w:val="32"/>
          <w:lang w:val="en-US" w:eastAsia="zh-CN"/>
        </w:rPr>
        <w:t>释放更充足的长期流动性。在当前政府债券供给高峰，可熨平资金的过度波动，强化货币与财政政策协同。</w:t>
      </w:r>
      <w:r>
        <w:rPr>
          <w:rFonts w:hint="default" w:ascii="仿宋_GB2312" w:hAnsi="仿宋_GB2312" w:eastAsia="仿宋_GB2312" w:cs="仿宋_GB2312"/>
          <w:b/>
          <w:bCs/>
          <w:sz w:val="32"/>
          <w:szCs w:val="32"/>
          <w:lang w:val="en-US" w:eastAsia="zh-CN"/>
        </w:rPr>
        <w:t>二是</w:t>
      </w:r>
      <w:r>
        <w:rPr>
          <w:rFonts w:hint="default" w:ascii="仿宋_GB2312" w:hAnsi="仿宋_GB2312" w:eastAsia="仿宋_GB2312" w:cs="仿宋_GB2312"/>
          <w:sz w:val="32"/>
          <w:szCs w:val="32"/>
          <w:lang w:val="en-US" w:eastAsia="zh-CN"/>
        </w:rPr>
        <w:t>年内后续月份MLF到期量逐步加大，9—12月MLF到期规模合计4.28万亿元，通过降准置换部分到期的MLF，可缓解央行续作压力，并进一步淡化MLF的利率色彩。</w:t>
      </w:r>
      <w:r>
        <w:rPr>
          <w:rFonts w:hint="default" w:ascii="仿宋_GB2312" w:hAnsi="仿宋_GB2312" w:eastAsia="仿宋_GB2312" w:cs="仿宋_GB2312"/>
          <w:b/>
          <w:bCs/>
          <w:sz w:val="32"/>
          <w:szCs w:val="32"/>
          <w:lang w:val="en-US" w:eastAsia="zh-CN"/>
        </w:rPr>
        <w:t>三是</w:t>
      </w:r>
      <w:r>
        <w:rPr>
          <w:rFonts w:hint="default" w:ascii="仿宋_GB2312" w:hAnsi="仿宋_GB2312" w:eastAsia="仿宋_GB2312" w:cs="仿宋_GB2312"/>
          <w:sz w:val="32"/>
          <w:szCs w:val="32"/>
          <w:lang w:val="en-US" w:eastAsia="zh-CN"/>
        </w:rPr>
        <w:t>降准有助于优化资金结构，节约银行成本，在一定程度上缓解净息差收窄压力。</w:t>
      </w:r>
      <w:r>
        <w:rPr>
          <w:rFonts w:hint="default" w:ascii="仿宋_GB2312" w:hAnsi="仿宋_GB2312" w:eastAsia="仿宋_GB2312" w:cs="仿宋_GB2312"/>
          <w:b/>
          <w:bCs/>
          <w:sz w:val="32"/>
          <w:szCs w:val="32"/>
          <w:lang w:val="en-US" w:eastAsia="zh-CN"/>
        </w:rPr>
        <w:t>四是</w:t>
      </w:r>
      <w:r>
        <w:rPr>
          <w:rFonts w:hint="default" w:ascii="仿宋_GB2312" w:hAnsi="仿宋_GB2312" w:eastAsia="仿宋_GB2312" w:cs="仿宋_GB2312"/>
          <w:sz w:val="32"/>
          <w:szCs w:val="32"/>
          <w:lang w:val="en-US" w:eastAsia="zh-CN"/>
        </w:rPr>
        <w:t>为银行体系提供长期低成本资金，稳定信用扩张，提升服务实体经济的动力和可持续性。</w:t>
      </w:r>
    </w:p>
    <w:p w14:paraId="06D78388">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温彬进一步分析，当前内需不足、物价低位运行，政策性降息和LPR下调</w:t>
      </w:r>
      <w:r>
        <w:rPr>
          <w:rFonts w:hint="default" w:ascii="仿宋_GB2312" w:hAnsi="仿宋_GB2312" w:eastAsia="仿宋_GB2312" w:cs="仿宋_GB2312"/>
          <w:sz w:val="32"/>
          <w:szCs w:val="32"/>
          <w:u w:val="single"/>
          <w:lang w:val="en-US" w:eastAsia="zh-CN"/>
        </w:rPr>
        <w:t>有助于降低实际融资成本，促进需求加快修复和全年经济增长目标的实现</w:t>
      </w:r>
      <w:r>
        <w:rPr>
          <w:rFonts w:hint="default" w:ascii="仿宋_GB2312" w:hAnsi="仿宋_GB2312" w:eastAsia="仿宋_GB2312" w:cs="仿宋_GB2312"/>
          <w:sz w:val="32"/>
          <w:szCs w:val="32"/>
          <w:lang w:val="en-US" w:eastAsia="zh-CN"/>
        </w:rPr>
        <w:t>；同步降息</w:t>
      </w:r>
      <w:r>
        <w:rPr>
          <w:rFonts w:hint="default" w:ascii="仿宋_GB2312" w:hAnsi="仿宋_GB2312" w:eastAsia="仿宋_GB2312" w:cs="仿宋_GB2312"/>
          <w:sz w:val="32"/>
          <w:szCs w:val="32"/>
          <w:u w:val="single"/>
          <w:lang w:val="en-US" w:eastAsia="zh-CN"/>
        </w:rPr>
        <w:t>强化了利率政策协同，在稳定银行息差的同时，也有助于减缓存款脱媒压力，维持商业银行资产和负债两端的有机平衡</w:t>
      </w:r>
      <w:r>
        <w:rPr>
          <w:rFonts w:hint="default" w:ascii="仿宋_GB2312" w:hAnsi="仿宋_GB2312" w:eastAsia="仿宋_GB2312" w:cs="仿宋_GB2312"/>
          <w:sz w:val="32"/>
          <w:szCs w:val="32"/>
          <w:lang w:val="en-US" w:eastAsia="zh-CN"/>
        </w:rPr>
        <w:t>；以7天逆回购利率为基准，</w:t>
      </w:r>
      <w:r>
        <w:rPr>
          <w:rFonts w:hint="default" w:ascii="仿宋_GB2312" w:hAnsi="仿宋_GB2312" w:eastAsia="仿宋_GB2312" w:cs="仿宋_GB2312"/>
          <w:sz w:val="32"/>
          <w:szCs w:val="32"/>
          <w:u w:val="single"/>
          <w:lang w:val="en-US" w:eastAsia="zh-CN"/>
        </w:rPr>
        <w:t>促进利率谱系的同步下调，进一步疏通了由短及长的利率传导路径，助力新的货币政策框架的完善</w:t>
      </w:r>
      <w:r>
        <w:rPr>
          <w:rFonts w:hint="default" w:ascii="仿宋_GB2312" w:hAnsi="仿宋_GB2312" w:eastAsia="仿宋_GB2312" w:cs="仿宋_GB2312"/>
          <w:sz w:val="32"/>
          <w:szCs w:val="32"/>
          <w:lang w:val="en-US" w:eastAsia="zh-CN"/>
        </w:rPr>
        <w:t>。</w:t>
      </w:r>
    </w:p>
    <w:p w14:paraId="1CE1B204">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来源：国际商报</w:t>
      </w:r>
    </w:p>
    <w:p w14:paraId="218760E6">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00E4A462">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安邦观点：货币政策新“三支箭”的含义和作用</w:t>
      </w:r>
    </w:p>
    <w:p w14:paraId="7B53BBB2">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9月24日，在国务院新闻办公室发布会上</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中国人民银行行长潘功胜宣布多项重磅政策。</w:t>
      </w:r>
      <w:r>
        <w:rPr>
          <w:rFonts w:hint="default" w:ascii="仿宋_GB2312" w:hAnsi="仿宋_GB2312" w:eastAsia="仿宋_GB2312" w:cs="仿宋_GB2312"/>
          <w:b/>
          <w:bCs/>
          <w:sz w:val="32"/>
          <w:szCs w:val="32"/>
          <w:lang w:val="en-US" w:eastAsia="zh-CN"/>
        </w:rPr>
        <w:t>第一</w:t>
      </w:r>
      <w:r>
        <w:rPr>
          <w:rFonts w:hint="default" w:ascii="仿宋_GB2312" w:hAnsi="仿宋_GB2312" w:eastAsia="仿宋_GB2312" w:cs="仿宋_GB2312"/>
          <w:sz w:val="32"/>
          <w:szCs w:val="32"/>
          <w:lang w:val="en-US" w:eastAsia="zh-CN"/>
        </w:rPr>
        <w:t>，降低存款准备金率和政策利率，带动市场基准利率下行；</w:t>
      </w:r>
      <w:r>
        <w:rPr>
          <w:rFonts w:hint="default" w:ascii="仿宋_GB2312" w:hAnsi="仿宋_GB2312" w:eastAsia="仿宋_GB2312" w:cs="仿宋_GB2312"/>
          <w:b/>
          <w:bCs/>
          <w:sz w:val="32"/>
          <w:szCs w:val="32"/>
          <w:lang w:val="en-US" w:eastAsia="zh-CN"/>
        </w:rPr>
        <w:t>第二</w:t>
      </w:r>
      <w:r>
        <w:rPr>
          <w:rFonts w:hint="default" w:ascii="仿宋_GB2312" w:hAnsi="仿宋_GB2312" w:eastAsia="仿宋_GB2312" w:cs="仿宋_GB2312"/>
          <w:sz w:val="32"/>
          <w:szCs w:val="32"/>
          <w:lang w:val="en-US" w:eastAsia="zh-CN"/>
        </w:rPr>
        <w:t>，降低存量房贷利率；</w:t>
      </w:r>
      <w:r>
        <w:rPr>
          <w:rFonts w:hint="default" w:ascii="仿宋_GB2312" w:hAnsi="仿宋_GB2312" w:eastAsia="仿宋_GB2312" w:cs="仿宋_GB2312"/>
          <w:b/>
          <w:bCs/>
          <w:sz w:val="32"/>
          <w:szCs w:val="32"/>
          <w:lang w:val="en-US" w:eastAsia="zh-CN"/>
        </w:rPr>
        <w:t>第三</w:t>
      </w:r>
      <w:r>
        <w:rPr>
          <w:rFonts w:hint="default" w:ascii="仿宋_GB2312" w:hAnsi="仿宋_GB2312" w:eastAsia="仿宋_GB2312" w:cs="仿宋_GB2312"/>
          <w:sz w:val="32"/>
          <w:szCs w:val="32"/>
          <w:lang w:val="en-US" w:eastAsia="zh-CN"/>
        </w:rPr>
        <w:t>，创设新的货币政策工具，支持股票市场的稳定发展。这一揽子货币政策，可以说是</w:t>
      </w:r>
      <w:r>
        <w:rPr>
          <w:rFonts w:hint="default" w:ascii="仿宋_GB2312" w:hAnsi="仿宋_GB2312" w:eastAsia="仿宋_GB2312" w:cs="仿宋_GB2312"/>
          <w:sz w:val="32"/>
          <w:szCs w:val="32"/>
          <w:u w:val="none"/>
          <w:lang w:val="en-US" w:eastAsia="zh-CN"/>
        </w:rPr>
        <w:t>既包括了</w:t>
      </w:r>
      <w:r>
        <w:rPr>
          <w:rFonts w:hint="default" w:ascii="仿宋_GB2312" w:hAnsi="仿宋_GB2312" w:eastAsia="仿宋_GB2312" w:cs="仿宋_GB2312"/>
          <w:sz w:val="32"/>
          <w:szCs w:val="32"/>
          <w:u w:val="single"/>
          <w:lang w:val="en-US" w:eastAsia="zh-CN"/>
        </w:rPr>
        <w:t>“降准、降息”的总量政策</w:t>
      </w:r>
      <w:r>
        <w:rPr>
          <w:rFonts w:hint="default" w:ascii="仿宋_GB2312" w:hAnsi="仿宋_GB2312" w:eastAsia="仿宋_GB2312" w:cs="仿宋_GB2312"/>
          <w:sz w:val="32"/>
          <w:szCs w:val="32"/>
          <w:u w:val="none"/>
          <w:lang w:val="en-US" w:eastAsia="zh-CN"/>
        </w:rPr>
        <w:t>，也包括“稳楼市”、“稳股市”的结构性政策</w:t>
      </w:r>
      <w:r>
        <w:rPr>
          <w:rFonts w:hint="default" w:ascii="仿宋_GB2312" w:hAnsi="仿宋_GB2312" w:eastAsia="仿宋_GB2312" w:cs="仿宋_GB2312"/>
          <w:sz w:val="32"/>
          <w:szCs w:val="32"/>
          <w:lang w:val="en-US" w:eastAsia="zh-CN"/>
        </w:rPr>
        <w:t>，从力度上来看，央行此次“三箭齐发”，的确是</w:t>
      </w:r>
      <w:r>
        <w:rPr>
          <w:rFonts w:hint="default" w:ascii="仿宋_GB2312" w:hAnsi="仿宋_GB2312" w:eastAsia="仿宋_GB2312" w:cs="仿宋_GB2312"/>
          <w:b/>
          <w:bCs/>
          <w:sz w:val="32"/>
          <w:szCs w:val="32"/>
          <w:lang w:val="en-US" w:eastAsia="zh-CN"/>
        </w:rPr>
        <w:t>超过此前历次政策调整的幅度</w:t>
      </w:r>
      <w:r>
        <w:rPr>
          <w:rFonts w:hint="default" w:ascii="仿宋_GB2312" w:hAnsi="仿宋_GB2312" w:eastAsia="仿宋_GB2312" w:cs="仿宋_GB2312"/>
          <w:sz w:val="32"/>
          <w:szCs w:val="32"/>
          <w:lang w:val="en-US" w:eastAsia="zh-CN"/>
        </w:rPr>
        <w:t>。</w:t>
      </w:r>
    </w:p>
    <w:p w14:paraId="3972B5AC">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在安邦智库的研究人员看来，</w:t>
      </w:r>
      <w:r>
        <w:rPr>
          <w:rFonts w:hint="default" w:ascii="仿宋_GB2312" w:hAnsi="仿宋_GB2312" w:eastAsia="仿宋_GB2312" w:cs="仿宋_GB2312"/>
          <w:sz w:val="32"/>
          <w:szCs w:val="32"/>
          <w:u w:val="none"/>
          <w:lang w:val="en-US" w:eastAsia="zh-CN"/>
        </w:rPr>
        <w:t>虽然此轮央行释放了一系列组合式的宽松政策，但调整的力度和释放的流动性和“大水漫灌”式的刺激并不相同，</w:t>
      </w:r>
      <w:r>
        <w:rPr>
          <w:rFonts w:hint="default" w:ascii="仿宋_GB2312" w:hAnsi="仿宋_GB2312" w:eastAsia="仿宋_GB2312" w:cs="仿宋_GB2312"/>
          <w:sz w:val="32"/>
          <w:szCs w:val="32"/>
          <w:u w:val="single"/>
          <w:lang w:val="en-US" w:eastAsia="zh-CN"/>
        </w:rPr>
        <w:t>仍然属于“精准宽松”的范围之内</w:t>
      </w:r>
      <w:r>
        <w:rPr>
          <w:rFonts w:hint="default"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lang w:val="en-US" w:eastAsia="zh-CN"/>
        </w:rPr>
        <w:t>其中，降准、降息等总量政策，以及降低存量房贷利率等结构性政策，对于“稳增长”和“稳楼市”而言</w:t>
      </w:r>
      <w:r>
        <w:rPr>
          <w:rFonts w:hint="default" w:ascii="仿宋_GB2312" w:hAnsi="仿宋_GB2312" w:eastAsia="仿宋_GB2312" w:cs="仿宋_GB2312"/>
          <w:sz w:val="32"/>
          <w:szCs w:val="32"/>
          <w:u w:val="single"/>
          <w:lang w:val="en-US" w:eastAsia="zh-CN"/>
        </w:rPr>
        <w:t>更多起到缓和的作用</w:t>
      </w:r>
      <w:r>
        <w:rPr>
          <w:rFonts w:hint="default" w:ascii="仿宋_GB2312" w:hAnsi="仿宋_GB2312" w:eastAsia="仿宋_GB2312" w:cs="仿宋_GB2312"/>
          <w:sz w:val="32"/>
          <w:szCs w:val="32"/>
          <w:lang w:val="en-US" w:eastAsia="zh-CN"/>
        </w:rPr>
        <w:t>；央行针对股市创设的新政策工具，</w:t>
      </w:r>
      <w:r>
        <w:rPr>
          <w:rFonts w:hint="default" w:ascii="仿宋_GB2312" w:hAnsi="仿宋_GB2312" w:eastAsia="仿宋_GB2312" w:cs="仿宋_GB2312"/>
          <w:sz w:val="32"/>
          <w:szCs w:val="32"/>
          <w:u w:val="single"/>
          <w:lang w:val="en-US" w:eastAsia="zh-CN"/>
        </w:rPr>
        <w:t>可能是最为有效的结构性政策。其对于改善预期的作用值得期待</w:t>
      </w:r>
      <w:r>
        <w:rPr>
          <w:rFonts w:hint="default" w:ascii="仿宋_GB2312" w:hAnsi="仿宋_GB2312" w:eastAsia="仿宋_GB2312" w:cs="仿宋_GB2312"/>
          <w:sz w:val="32"/>
          <w:szCs w:val="32"/>
          <w:lang w:val="en-US" w:eastAsia="zh-CN"/>
        </w:rPr>
        <w:t>。</w:t>
      </w:r>
    </w:p>
    <w:p w14:paraId="1A753AC9">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436E1229">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51D4A151">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13BD6CC6">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4AACBCE6">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0F1363E9">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750C8F17">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01C13DDA">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4A6AE00B">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32583436">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06A0656C">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tbl>
      <w:tblPr>
        <w:tblStyle w:val="3"/>
        <w:tblpPr w:leftFromText="180" w:rightFromText="180" w:vertAnchor="text" w:horzAnchor="page" w:tblpX="1635" w:tblpY="5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9"/>
      </w:tblGrid>
      <w:tr w14:paraId="24FF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9" w:type="dxa"/>
            <w:tcBorders>
              <w:left w:val="nil"/>
              <w:bottom w:val="single" w:color="auto" w:sz="8" w:space="0"/>
              <w:right w:val="nil"/>
            </w:tcBorders>
            <w:noWrap w:val="0"/>
            <w:vAlign w:val="top"/>
          </w:tcPr>
          <w:p w14:paraId="7FA6BE16">
            <w:pPr>
              <w:spacing w:line="460" w:lineRule="exact"/>
              <w:rPr>
                <w:rFonts w:hint="eastAsia" w:ascii="仿宋_GB2312" w:hAnsi="仿宋_GB2312" w:eastAsia="仿宋" w:cs="仿宋_GB2312"/>
                <w:sz w:val="28"/>
                <w:szCs w:val="28"/>
                <w:lang w:eastAsia="zh-CN"/>
              </w:rPr>
            </w:pPr>
            <w:r>
              <w:rPr>
                <w:rFonts w:hint="eastAsia" w:ascii="仿宋" w:hAnsi="仿宋" w:eastAsia="仿宋" w:cs="仿宋"/>
                <w:sz w:val="28"/>
                <w:szCs w:val="28"/>
                <w:lang w:val="en-US" w:eastAsia="zh-CN"/>
              </w:rPr>
              <w:t>送</w:t>
            </w:r>
            <w:r>
              <w:rPr>
                <w:rFonts w:hint="eastAsia" w:ascii="仿宋" w:hAnsi="仿宋" w:eastAsia="仿宋" w:cs="仿宋"/>
                <w:sz w:val="28"/>
                <w:szCs w:val="28"/>
              </w:rPr>
              <w:t>：公司领导、各部门</w:t>
            </w:r>
            <w:r>
              <w:rPr>
                <w:rFonts w:hint="eastAsia" w:ascii="仿宋" w:hAnsi="仿宋" w:eastAsia="仿宋" w:cs="仿宋"/>
                <w:sz w:val="28"/>
                <w:szCs w:val="28"/>
                <w:lang w:eastAsia="zh-CN"/>
              </w:rPr>
              <w:t>。</w:t>
            </w:r>
          </w:p>
        </w:tc>
      </w:tr>
    </w:tbl>
    <w:p w14:paraId="31A5E2F1"/>
    <w:sectPr>
      <w:footerReference r:id="rId3" w:type="default"/>
      <w:pgSz w:w="11906" w:h="16838"/>
      <w:pgMar w:top="1701" w:right="1536" w:bottom="1701" w:left="1536"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F610F4-E314-4BAE-8C6D-5BBAE54EAD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2" w:fontKey="{10C43859-CA1C-4332-8EF5-798A31081334}"/>
  </w:font>
  <w:font w:name="仿宋_GB2312">
    <w:panose1 w:val="02010609030101010101"/>
    <w:charset w:val="86"/>
    <w:family w:val="modern"/>
    <w:pitch w:val="default"/>
    <w:sig w:usb0="00000001" w:usb1="080E0000" w:usb2="00000000" w:usb3="00000000" w:csb0="00040000" w:csb1="00000000"/>
    <w:embedRegular r:id="rId3" w:fontKey="{916B198E-1273-4074-8AE7-88E6EE22DEB7}"/>
  </w:font>
  <w:font w:name="仿宋">
    <w:panose1 w:val="02010609060101010101"/>
    <w:charset w:val="86"/>
    <w:family w:val="modern"/>
    <w:pitch w:val="default"/>
    <w:sig w:usb0="800002BF" w:usb1="38CF7CFA" w:usb2="00000016" w:usb3="00000000" w:csb0="00040001" w:csb1="00000000"/>
    <w:embedRegular r:id="rId4" w:fontKey="{DEA4623E-0319-4074-84F0-4980397C060D}"/>
  </w:font>
  <w:font w:name="楷体_GB2312">
    <w:panose1 w:val="02010609030101010101"/>
    <w:charset w:val="86"/>
    <w:family w:val="modern"/>
    <w:pitch w:val="default"/>
    <w:sig w:usb0="00000001" w:usb1="080E0000" w:usb2="00000000" w:usb3="00000000" w:csb0="00040000" w:csb1="00000000"/>
    <w:embedRegular r:id="rId5" w:fontKey="{9275E84C-CFBC-4671-93CB-428934F2EE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409A7">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5C0782">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VwN+I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NHuMtMBf2rY6S5M500xtibZEgOXXIW&#10;ZFrItEUP/Vx1/wi3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GVwN+IBAADMAwAADgAA&#10;AAAAAAABACAAAAAeAQAAZHJzL2Uyb0RvYy54bWxQSwUGAAAAAAYABgBZAQAAcgUAAAAA&#10;">
              <v:fill on="f" focussize="0,0"/>
              <v:stroke on="f"/>
              <v:imagedata o:title=""/>
              <o:lock v:ext="edit" aspectratio="f"/>
              <v:textbox inset="0mm,0mm,0mm,0mm" style="mso-fit-shape-to-text:t;">
                <w:txbxContent>
                  <w:p w14:paraId="1C5C0782">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B1679F"/>
    <w:multiLevelType w:val="multilevel"/>
    <w:tmpl w:val="69B1679F"/>
    <w:lvl w:ilvl="0" w:tentative="0">
      <w:start w:val="1"/>
      <w:numFmt w:val="bullet"/>
      <w:lvlText w:val=""/>
      <w:lvlJc w:val="left"/>
      <w:pPr>
        <w:ind w:left="420" w:hanging="420"/>
      </w:pPr>
      <w:rPr>
        <w:rFonts w:hint="default" w:ascii="Wingdings" w:hAnsi="Wingdings"/>
        <w:color w:val="000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iYTkwNzMyOTZjNjIwZjhkODg1MmU1ZmRmNDQzZjMifQ=="/>
  </w:docVars>
  <w:rsids>
    <w:rsidRoot w:val="00000000"/>
    <w:rsid w:val="00237A6E"/>
    <w:rsid w:val="00CE7030"/>
    <w:rsid w:val="01317F69"/>
    <w:rsid w:val="014C6B51"/>
    <w:rsid w:val="01516BA6"/>
    <w:rsid w:val="01B446F6"/>
    <w:rsid w:val="01C901A1"/>
    <w:rsid w:val="01D01BA4"/>
    <w:rsid w:val="022278B2"/>
    <w:rsid w:val="023A109F"/>
    <w:rsid w:val="027619AC"/>
    <w:rsid w:val="02AF5913"/>
    <w:rsid w:val="02B0310F"/>
    <w:rsid w:val="031511C4"/>
    <w:rsid w:val="03340AC7"/>
    <w:rsid w:val="03394EB3"/>
    <w:rsid w:val="034D095E"/>
    <w:rsid w:val="03BB7FBE"/>
    <w:rsid w:val="03C43552"/>
    <w:rsid w:val="03FB660C"/>
    <w:rsid w:val="04206073"/>
    <w:rsid w:val="04A62A1C"/>
    <w:rsid w:val="04B8484E"/>
    <w:rsid w:val="05416AD2"/>
    <w:rsid w:val="055204AE"/>
    <w:rsid w:val="05663F59"/>
    <w:rsid w:val="05850883"/>
    <w:rsid w:val="059B7983"/>
    <w:rsid w:val="05AC2BD9"/>
    <w:rsid w:val="05C00253"/>
    <w:rsid w:val="06224324"/>
    <w:rsid w:val="06231E4A"/>
    <w:rsid w:val="0639166E"/>
    <w:rsid w:val="06466F6F"/>
    <w:rsid w:val="06606BFB"/>
    <w:rsid w:val="068D3C6C"/>
    <w:rsid w:val="069B5E85"/>
    <w:rsid w:val="06A116ED"/>
    <w:rsid w:val="06AD62E4"/>
    <w:rsid w:val="06FD08ED"/>
    <w:rsid w:val="07115108"/>
    <w:rsid w:val="072440CC"/>
    <w:rsid w:val="077706A0"/>
    <w:rsid w:val="07E61182"/>
    <w:rsid w:val="07F67816"/>
    <w:rsid w:val="08897431"/>
    <w:rsid w:val="088E5CA1"/>
    <w:rsid w:val="08DA2C94"/>
    <w:rsid w:val="08F55D20"/>
    <w:rsid w:val="094D16B8"/>
    <w:rsid w:val="09524F20"/>
    <w:rsid w:val="09776735"/>
    <w:rsid w:val="09B01C47"/>
    <w:rsid w:val="09CC13A3"/>
    <w:rsid w:val="09FE29B2"/>
    <w:rsid w:val="0A12645E"/>
    <w:rsid w:val="0A7F55A7"/>
    <w:rsid w:val="0AAC68B2"/>
    <w:rsid w:val="0AB56615"/>
    <w:rsid w:val="0AC27E84"/>
    <w:rsid w:val="0ACA0AE6"/>
    <w:rsid w:val="0AF85654"/>
    <w:rsid w:val="0B0C3C89"/>
    <w:rsid w:val="0B7F7B23"/>
    <w:rsid w:val="0BC11EE9"/>
    <w:rsid w:val="0BEB51B8"/>
    <w:rsid w:val="0C234952"/>
    <w:rsid w:val="0C2A3F33"/>
    <w:rsid w:val="0CDB4981"/>
    <w:rsid w:val="0CEE4F60"/>
    <w:rsid w:val="0D37631D"/>
    <w:rsid w:val="0D4C612B"/>
    <w:rsid w:val="0D731909"/>
    <w:rsid w:val="0D780CCE"/>
    <w:rsid w:val="0DB31D06"/>
    <w:rsid w:val="0E0C7F2C"/>
    <w:rsid w:val="0E3A41D5"/>
    <w:rsid w:val="0E4B1F3E"/>
    <w:rsid w:val="0E6A6868"/>
    <w:rsid w:val="0EAC6E81"/>
    <w:rsid w:val="0EB977F0"/>
    <w:rsid w:val="0EBD108E"/>
    <w:rsid w:val="0ECF0DC1"/>
    <w:rsid w:val="0EDD528C"/>
    <w:rsid w:val="0EE7610B"/>
    <w:rsid w:val="0EEE4933"/>
    <w:rsid w:val="0F566DED"/>
    <w:rsid w:val="0F6A2898"/>
    <w:rsid w:val="0F814B04"/>
    <w:rsid w:val="0FA20284"/>
    <w:rsid w:val="101C1DE4"/>
    <w:rsid w:val="10594DE6"/>
    <w:rsid w:val="105B0B5E"/>
    <w:rsid w:val="10902C0C"/>
    <w:rsid w:val="10AD0C8E"/>
    <w:rsid w:val="10F13271"/>
    <w:rsid w:val="112076B2"/>
    <w:rsid w:val="113849FC"/>
    <w:rsid w:val="11553800"/>
    <w:rsid w:val="1158509E"/>
    <w:rsid w:val="117F7576"/>
    <w:rsid w:val="118F65E6"/>
    <w:rsid w:val="11B5429E"/>
    <w:rsid w:val="11C646FD"/>
    <w:rsid w:val="1202325C"/>
    <w:rsid w:val="120C7C36"/>
    <w:rsid w:val="12280F14"/>
    <w:rsid w:val="124637D9"/>
    <w:rsid w:val="12604834"/>
    <w:rsid w:val="12681311"/>
    <w:rsid w:val="1283439D"/>
    <w:rsid w:val="12B24C82"/>
    <w:rsid w:val="12BA7692"/>
    <w:rsid w:val="12C14EC5"/>
    <w:rsid w:val="12D270D2"/>
    <w:rsid w:val="12E666D9"/>
    <w:rsid w:val="12EF5014"/>
    <w:rsid w:val="13143B13"/>
    <w:rsid w:val="13207E3D"/>
    <w:rsid w:val="13367661"/>
    <w:rsid w:val="133C081D"/>
    <w:rsid w:val="13A4281C"/>
    <w:rsid w:val="13CA1B57"/>
    <w:rsid w:val="140908D1"/>
    <w:rsid w:val="14131750"/>
    <w:rsid w:val="143015EC"/>
    <w:rsid w:val="14305E5E"/>
    <w:rsid w:val="148D32B1"/>
    <w:rsid w:val="14BC3B96"/>
    <w:rsid w:val="14F74BCE"/>
    <w:rsid w:val="150F1F18"/>
    <w:rsid w:val="151915EB"/>
    <w:rsid w:val="152C0D1B"/>
    <w:rsid w:val="15396F94"/>
    <w:rsid w:val="154F67B8"/>
    <w:rsid w:val="155B6F0B"/>
    <w:rsid w:val="157C12DA"/>
    <w:rsid w:val="158741A4"/>
    <w:rsid w:val="15B11221"/>
    <w:rsid w:val="15C42D02"/>
    <w:rsid w:val="16A11295"/>
    <w:rsid w:val="16CD3E38"/>
    <w:rsid w:val="17680005"/>
    <w:rsid w:val="1768590F"/>
    <w:rsid w:val="179B3F36"/>
    <w:rsid w:val="17A74689"/>
    <w:rsid w:val="17A96653"/>
    <w:rsid w:val="17C84600"/>
    <w:rsid w:val="17D34B0B"/>
    <w:rsid w:val="17DE3E23"/>
    <w:rsid w:val="182865F3"/>
    <w:rsid w:val="18770500"/>
    <w:rsid w:val="18A1557C"/>
    <w:rsid w:val="18AE1A47"/>
    <w:rsid w:val="18E67433"/>
    <w:rsid w:val="18E91864"/>
    <w:rsid w:val="18ED6A14"/>
    <w:rsid w:val="19436634"/>
    <w:rsid w:val="19524AC9"/>
    <w:rsid w:val="19A52E4A"/>
    <w:rsid w:val="19B117EF"/>
    <w:rsid w:val="19B968F6"/>
    <w:rsid w:val="19C31523"/>
    <w:rsid w:val="19DC4FFB"/>
    <w:rsid w:val="1A293A7B"/>
    <w:rsid w:val="1AB1581F"/>
    <w:rsid w:val="1ABD2416"/>
    <w:rsid w:val="1B03607B"/>
    <w:rsid w:val="1B2304CB"/>
    <w:rsid w:val="1B23671D"/>
    <w:rsid w:val="1B3C158C"/>
    <w:rsid w:val="1B4D5548"/>
    <w:rsid w:val="1B9969DF"/>
    <w:rsid w:val="1BAA0BEC"/>
    <w:rsid w:val="1BE834C2"/>
    <w:rsid w:val="1BEF2AA3"/>
    <w:rsid w:val="1C4921B3"/>
    <w:rsid w:val="1C6A3ED7"/>
    <w:rsid w:val="1C730FDE"/>
    <w:rsid w:val="1CD5426B"/>
    <w:rsid w:val="1CD83537"/>
    <w:rsid w:val="1CFD2F9D"/>
    <w:rsid w:val="1D497F91"/>
    <w:rsid w:val="1D7414B2"/>
    <w:rsid w:val="1D7C2114"/>
    <w:rsid w:val="1D880AB9"/>
    <w:rsid w:val="1DF428D0"/>
    <w:rsid w:val="1E4C7D38"/>
    <w:rsid w:val="1EDD6BE3"/>
    <w:rsid w:val="1F016D65"/>
    <w:rsid w:val="1F095C2A"/>
    <w:rsid w:val="1F325180"/>
    <w:rsid w:val="1F59095F"/>
    <w:rsid w:val="1F664E2A"/>
    <w:rsid w:val="1F6E1F30"/>
    <w:rsid w:val="1F9A0F77"/>
    <w:rsid w:val="20076707"/>
    <w:rsid w:val="20407429"/>
    <w:rsid w:val="20547378"/>
    <w:rsid w:val="2058231D"/>
    <w:rsid w:val="20E06E5E"/>
    <w:rsid w:val="20E64474"/>
    <w:rsid w:val="21162880"/>
    <w:rsid w:val="21187848"/>
    <w:rsid w:val="21304A63"/>
    <w:rsid w:val="21366A7E"/>
    <w:rsid w:val="213C1752"/>
    <w:rsid w:val="2173382E"/>
    <w:rsid w:val="219739C1"/>
    <w:rsid w:val="2268710B"/>
    <w:rsid w:val="22721D38"/>
    <w:rsid w:val="228B62C2"/>
    <w:rsid w:val="22AF0896"/>
    <w:rsid w:val="22CE51C0"/>
    <w:rsid w:val="22D56B65"/>
    <w:rsid w:val="22EE7610"/>
    <w:rsid w:val="2309269C"/>
    <w:rsid w:val="23574F07"/>
    <w:rsid w:val="235A6A54"/>
    <w:rsid w:val="23A44173"/>
    <w:rsid w:val="23CF7104"/>
    <w:rsid w:val="24156E1F"/>
    <w:rsid w:val="243454F7"/>
    <w:rsid w:val="243D75AA"/>
    <w:rsid w:val="2492221D"/>
    <w:rsid w:val="251315B0"/>
    <w:rsid w:val="252C08C4"/>
    <w:rsid w:val="255D282B"/>
    <w:rsid w:val="25893620"/>
    <w:rsid w:val="25AA3460"/>
    <w:rsid w:val="25B53AED"/>
    <w:rsid w:val="25B65CEB"/>
    <w:rsid w:val="25F42076"/>
    <w:rsid w:val="264439EB"/>
    <w:rsid w:val="265956E8"/>
    <w:rsid w:val="267267AA"/>
    <w:rsid w:val="267918E7"/>
    <w:rsid w:val="26D608D1"/>
    <w:rsid w:val="26E023F3"/>
    <w:rsid w:val="26FB054E"/>
    <w:rsid w:val="272C4BAB"/>
    <w:rsid w:val="274517C9"/>
    <w:rsid w:val="27621707"/>
    <w:rsid w:val="279544FE"/>
    <w:rsid w:val="27CB4D62"/>
    <w:rsid w:val="27CC5A46"/>
    <w:rsid w:val="27D05536"/>
    <w:rsid w:val="27E47572"/>
    <w:rsid w:val="28305FD5"/>
    <w:rsid w:val="284E28FF"/>
    <w:rsid w:val="285C326E"/>
    <w:rsid w:val="287F6F5C"/>
    <w:rsid w:val="288A1B89"/>
    <w:rsid w:val="288D78CB"/>
    <w:rsid w:val="296F0D7F"/>
    <w:rsid w:val="299B6018"/>
    <w:rsid w:val="29AF561F"/>
    <w:rsid w:val="29D86924"/>
    <w:rsid w:val="29FA2D3E"/>
    <w:rsid w:val="2A2C4823"/>
    <w:rsid w:val="2A337FFE"/>
    <w:rsid w:val="2AA4561F"/>
    <w:rsid w:val="2ABC7FF4"/>
    <w:rsid w:val="2AFE23BA"/>
    <w:rsid w:val="2B5B780D"/>
    <w:rsid w:val="2BCC4267"/>
    <w:rsid w:val="2C5C1A8E"/>
    <w:rsid w:val="2C5D75B5"/>
    <w:rsid w:val="2CA60F5C"/>
    <w:rsid w:val="2CCB2770"/>
    <w:rsid w:val="2D085772"/>
    <w:rsid w:val="2D3E1194"/>
    <w:rsid w:val="2D8172D3"/>
    <w:rsid w:val="2E3A7BAD"/>
    <w:rsid w:val="2E644C2A"/>
    <w:rsid w:val="2E6C3ADF"/>
    <w:rsid w:val="2E935510"/>
    <w:rsid w:val="2EC13E2B"/>
    <w:rsid w:val="2EC67693"/>
    <w:rsid w:val="2F191EB9"/>
    <w:rsid w:val="2F397E65"/>
    <w:rsid w:val="2FDD4C94"/>
    <w:rsid w:val="2FE140FD"/>
    <w:rsid w:val="2FE222AB"/>
    <w:rsid w:val="2FFB15BE"/>
    <w:rsid w:val="30093CDB"/>
    <w:rsid w:val="302E54F0"/>
    <w:rsid w:val="3059118A"/>
    <w:rsid w:val="308659A2"/>
    <w:rsid w:val="3087288E"/>
    <w:rsid w:val="30A77050"/>
    <w:rsid w:val="3135465C"/>
    <w:rsid w:val="313A1C72"/>
    <w:rsid w:val="319E66A5"/>
    <w:rsid w:val="31BD6B27"/>
    <w:rsid w:val="31D9148B"/>
    <w:rsid w:val="31DE4CF4"/>
    <w:rsid w:val="3255145A"/>
    <w:rsid w:val="32755658"/>
    <w:rsid w:val="32A25D21"/>
    <w:rsid w:val="333A41AC"/>
    <w:rsid w:val="33995376"/>
    <w:rsid w:val="33A361F5"/>
    <w:rsid w:val="33A65CE5"/>
    <w:rsid w:val="33D04B10"/>
    <w:rsid w:val="33F64577"/>
    <w:rsid w:val="342509B8"/>
    <w:rsid w:val="34254E5C"/>
    <w:rsid w:val="345D63A4"/>
    <w:rsid w:val="34BB30CA"/>
    <w:rsid w:val="34D30BA0"/>
    <w:rsid w:val="34E70363"/>
    <w:rsid w:val="35255896"/>
    <w:rsid w:val="359C73A0"/>
    <w:rsid w:val="35BE7316"/>
    <w:rsid w:val="35C3492C"/>
    <w:rsid w:val="35FE7F8F"/>
    <w:rsid w:val="362B4280"/>
    <w:rsid w:val="36413AA3"/>
    <w:rsid w:val="3660217B"/>
    <w:rsid w:val="36760224"/>
    <w:rsid w:val="369B31B3"/>
    <w:rsid w:val="36D466C5"/>
    <w:rsid w:val="371766B4"/>
    <w:rsid w:val="3733163E"/>
    <w:rsid w:val="37337890"/>
    <w:rsid w:val="375B2943"/>
    <w:rsid w:val="37977E1F"/>
    <w:rsid w:val="37A442FB"/>
    <w:rsid w:val="380134EA"/>
    <w:rsid w:val="3814321D"/>
    <w:rsid w:val="38797524"/>
    <w:rsid w:val="38E36885"/>
    <w:rsid w:val="38F44DFD"/>
    <w:rsid w:val="39111E53"/>
    <w:rsid w:val="391F631E"/>
    <w:rsid w:val="397A17A6"/>
    <w:rsid w:val="39C944DB"/>
    <w:rsid w:val="39D32C64"/>
    <w:rsid w:val="39D94CD5"/>
    <w:rsid w:val="3A4678DA"/>
    <w:rsid w:val="3A94460B"/>
    <w:rsid w:val="3A995420"/>
    <w:rsid w:val="3AA36ADA"/>
    <w:rsid w:val="3AB111F7"/>
    <w:rsid w:val="3AB60A09"/>
    <w:rsid w:val="3AF86E26"/>
    <w:rsid w:val="3B0D3370"/>
    <w:rsid w:val="3B286FE0"/>
    <w:rsid w:val="3B293484"/>
    <w:rsid w:val="3B602C1D"/>
    <w:rsid w:val="3BDF1D94"/>
    <w:rsid w:val="3BE64ED1"/>
    <w:rsid w:val="3C046F9E"/>
    <w:rsid w:val="3C487939"/>
    <w:rsid w:val="3CED04E1"/>
    <w:rsid w:val="3CF61143"/>
    <w:rsid w:val="3D0715A3"/>
    <w:rsid w:val="3D145A6E"/>
    <w:rsid w:val="3D163786"/>
    <w:rsid w:val="3D257C7B"/>
    <w:rsid w:val="3D2C725B"/>
    <w:rsid w:val="3D3D4FC4"/>
    <w:rsid w:val="3D464264"/>
    <w:rsid w:val="3D6E1622"/>
    <w:rsid w:val="3DA9265A"/>
    <w:rsid w:val="3DE17527"/>
    <w:rsid w:val="3DE6740A"/>
    <w:rsid w:val="3E2B12C1"/>
    <w:rsid w:val="3E5F540E"/>
    <w:rsid w:val="3E7F19F3"/>
    <w:rsid w:val="3EAD43CC"/>
    <w:rsid w:val="3F9966FE"/>
    <w:rsid w:val="3F9D61EE"/>
    <w:rsid w:val="3FBD23EC"/>
    <w:rsid w:val="3FCA75B6"/>
    <w:rsid w:val="40043B30"/>
    <w:rsid w:val="400973E0"/>
    <w:rsid w:val="40251D40"/>
    <w:rsid w:val="40DE261A"/>
    <w:rsid w:val="40E37C31"/>
    <w:rsid w:val="40E57E4D"/>
    <w:rsid w:val="40FC6F44"/>
    <w:rsid w:val="410B53D9"/>
    <w:rsid w:val="41A5138A"/>
    <w:rsid w:val="41A76EB0"/>
    <w:rsid w:val="41B15F81"/>
    <w:rsid w:val="41BB0D2F"/>
    <w:rsid w:val="41C537DA"/>
    <w:rsid w:val="41F83BB0"/>
    <w:rsid w:val="424C7A58"/>
    <w:rsid w:val="42903DE8"/>
    <w:rsid w:val="42A70AE7"/>
    <w:rsid w:val="430D77C7"/>
    <w:rsid w:val="43291B47"/>
    <w:rsid w:val="437159C8"/>
    <w:rsid w:val="43AD0B79"/>
    <w:rsid w:val="43BC29BB"/>
    <w:rsid w:val="43D23F8D"/>
    <w:rsid w:val="441F5424"/>
    <w:rsid w:val="443C0F95"/>
    <w:rsid w:val="443D3AFC"/>
    <w:rsid w:val="4473751E"/>
    <w:rsid w:val="4493196E"/>
    <w:rsid w:val="4497145E"/>
    <w:rsid w:val="44A45929"/>
    <w:rsid w:val="44B1402F"/>
    <w:rsid w:val="4504286C"/>
    <w:rsid w:val="453A52BD"/>
    <w:rsid w:val="453E5D7D"/>
    <w:rsid w:val="454B2248"/>
    <w:rsid w:val="455C26A8"/>
    <w:rsid w:val="45C76627"/>
    <w:rsid w:val="45D25D77"/>
    <w:rsid w:val="45D264C6"/>
    <w:rsid w:val="46235EEF"/>
    <w:rsid w:val="462F56C6"/>
    <w:rsid w:val="468A6DA0"/>
    <w:rsid w:val="46DD5122"/>
    <w:rsid w:val="46F74436"/>
    <w:rsid w:val="474156B1"/>
    <w:rsid w:val="478D4D9A"/>
    <w:rsid w:val="479559FD"/>
    <w:rsid w:val="47AF6ABF"/>
    <w:rsid w:val="47CF53B3"/>
    <w:rsid w:val="47D6229D"/>
    <w:rsid w:val="47FE3E1C"/>
    <w:rsid w:val="48B325DE"/>
    <w:rsid w:val="49496A9F"/>
    <w:rsid w:val="496B110B"/>
    <w:rsid w:val="49AD765C"/>
    <w:rsid w:val="49B25FCD"/>
    <w:rsid w:val="4A1452FF"/>
    <w:rsid w:val="4A730277"/>
    <w:rsid w:val="4A7A7858"/>
    <w:rsid w:val="4B137364"/>
    <w:rsid w:val="4B55797D"/>
    <w:rsid w:val="4B5C0D0B"/>
    <w:rsid w:val="4B7F49FA"/>
    <w:rsid w:val="4BB5666E"/>
    <w:rsid w:val="4BC026E2"/>
    <w:rsid w:val="4BED5E07"/>
    <w:rsid w:val="4C3C0B94"/>
    <w:rsid w:val="4C4A325A"/>
    <w:rsid w:val="4CD15729"/>
    <w:rsid w:val="4D4330EF"/>
    <w:rsid w:val="4D4759EB"/>
    <w:rsid w:val="4D866514"/>
    <w:rsid w:val="4DB56DF9"/>
    <w:rsid w:val="4DCB03CA"/>
    <w:rsid w:val="4DCE3A17"/>
    <w:rsid w:val="4DDA23BB"/>
    <w:rsid w:val="4E121B55"/>
    <w:rsid w:val="4E157897"/>
    <w:rsid w:val="4E375A60"/>
    <w:rsid w:val="4E4A7541"/>
    <w:rsid w:val="4E922C96"/>
    <w:rsid w:val="4EF8069D"/>
    <w:rsid w:val="4F073684"/>
    <w:rsid w:val="4F0E2B78"/>
    <w:rsid w:val="4F1418FD"/>
    <w:rsid w:val="4F416B96"/>
    <w:rsid w:val="5039786D"/>
    <w:rsid w:val="503A35E5"/>
    <w:rsid w:val="50CD6207"/>
    <w:rsid w:val="50D17AA6"/>
    <w:rsid w:val="50E377D9"/>
    <w:rsid w:val="51220301"/>
    <w:rsid w:val="513D338D"/>
    <w:rsid w:val="517E35DD"/>
    <w:rsid w:val="51B178D7"/>
    <w:rsid w:val="51F9353B"/>
    <w:rsid w:val="521265C8"/>
    <w:rsid w:val="521A547C"/>
    <w:rsid w:val="522615D6"/>
    <w:rsid w:val="527252B8"/>
    <w:rsid w:val="527903F5"/>
    <w:rsid w:val="52E53CDC"/>
    <w:rsid w:val="532C1B23"/>
    <w:rsid w:val="533F163E"/>
    <w:rsid w:val="5385101B"/>
    <w:rsid w:val="53D61877"/>
    <w:rsid w:val="541A5C08"/>
    <w:rsid w:val="543F741C"/>
    <w:rsid w:val="54B716A8"/>
    <w:rsid w:val="54E029AD"/>
    <w:rsid w:val="54E65AEA"/>
    <w:rsid w:val="552C1FAA"/>
    <w:rsid w:val="55945546"/>
    <w:rsid w:val="55BF0815"/>
    <w:rsid w:val="55D1679A"/>
    <w:rsid w:val="56044479"/>
    <w:rsid w:val="560C1580"/>
    <w:rsid w:val="56102E1E"/>
    <w:rsid w:val="564C5721"/>
    <w:rsid w:val="565A22EB"/>
    <w:rsid w:val="566273F2"/>
    <w:rsid w:val="566C201F"/>
    <w:rsid w:val="569752EE"/>
    <w:rsid w:val="56A25A40"/>
    <w:rsid w:val="56B539C6"/>
    <w:rsid w:val="570861EB"/>
    <w:rsid w:val="572648C3"/>
    <w:rsid w:val="575360F3"/>
    <w:rsid w:val="57803FD4"/>
    <w:rsid w:val="57B43C7D"/>
    <w:rsid w:val="57B63E99"/>
    <w:rsid w:val="57B65C47"/>
    <w:rsid w:val="5814296E"/>
    <w:rsid w:val="58523BC2"/>
    <w:rsid w:val="58782BD5"/>
    <w:rsid w:val="58800458"/>
    <w:rsid w:val="58E6255C"/>
    <w:rsid w:val="592B4413"/>
    <w:rsid w:val="59B9557B"/>
    <w:rsid w:val="5A074538"/>
    <w:rsid w:val="5A380B96"/>
    <w:rsid w:val="5A3C190B"/>
    <w:rsid w:val="5A3C5143"/>
    <w:rsid w:val="5A481D99"/>
    <w:rsid w:val="5A584D94"/>
    <w:rsid w:val="5A6E263F"/>
    <w:rsid w:val="5A7D0C9E"/>
    <w:rsid w:val="5A94015F"/>
    <w:rsid w:val="5AAE0E58"/>
    <w:rsid w:val="5B303F63"/>
    <w:rsid w:val="5B5163B3"/>
    <w:rsid w:val="5B6854AA"/>
    <w:rsid w:val="5BBE7366"/>
    <w:rsid w:val="5BC87CF7"/>
    <w:rsid w:val="5BFE5E0F"/>
    <w:rsid w:val="5C021228"/>
    <w:rsid w:val="5C401F83"/>
    <w:rsid w:val="5C642116"/>
    <w:rsid w:val="5C8A31FF"/>
    <w:rsid w:val="5CBD35D4"/>
    <w:rsid w:val="5CED4F6D"/>
    <w:rsid w:val="5D333896"/>
    <w:rsid w:val="5D3F223B"/>
    <w:rsid w:val="5D804D2D"/>
    <w:rsid w:val="5DE0757A"/>
    <w:rsid w:val="5E5560CE"/>
    <w:rsid w:val="5E993BCD"/>
    <w:rsid w:val="5F0932AE"/>
    <w:rsid w:val="5F8473FA"/>
    <w:rsid w:val="5FD27396"/>
    <w:rsid w:val="5FFC1DB5"/>
    <w:rsid w:val="600845BE"/>
    <w:rsid w:val="60343BAD"/>
    <w:rsid w:val="60471B32"/>
    <w:rsid w:val="60AC36F8"/>
    <w:rsid w:val="60B60A66"/>
    <w:rsid w:val="60F87884"/>
    <w:rsid w:val="60F90953"/>
    <w:rsid w:val="612260FC"/>
    <w:rsid w:val="6146003C"/>
    <w:rsid w:val="614A3BE6"/>
    <w:rsid w:val="614E6EF1"/>
    <w:rsid w:val="61760D4C"/>
    <w:rsid w:val="618B3CA1"/>
    <w:rsid w:val="61D5714D"/>
    <w:rsid w:val="61E17353"/>
    <w:rsid w:val="62141EE8"/>
    <w:rsid w:val="621A5025"/>
    <w:rsid w:val="62267D16"/>
    <w:rsid w:val="622C064E"/>
    <w:rsid w:val="622D31D4"/>
    <w:rsid w:val="623B7475"/>
    <w:rsid w:val="623E0D13"/>
    <w:rsid w:val="631C34A7"/>
    <w:rsid w:val="632779F9"/>
    <w:rsid w:val="635B76A3"/>
    <w:rsid w:val="6367429A"/>
    <w:rsid w:val="63A22E8F"/>
    <w:rsid w:val="63BA261B"/>
    <w:rsid w:val="63C95FE5"/>
    <w:rsid w:val="63E35DF8"/>
    <w:rsid w:val="64414AEB"/>
    <w:rsid w:val="644F1CB2"/>
    <w:rsid w:val="646B1B68"/>
    <w:rsid w:val="6477675E"/>
    <w:rsid w:val="649C519A"/>
    <w:rsid w:val="64BB489D"/>
    <w:rsid w:val="64BF6C21"/>
    <w:rsid w:val="64C03C61"/>
    <w:rsid w:val="64FE478A"/>
    <w:rsid w:val="658E1FB1"/>
    <w:rsid w:val="65AB66C0"/>
    <w:rsid w:val="65B337C6"/>
    <w:rsid w:val="65C43C25"/>
    <w:rsid w:val="65E9368C"/>
    <w:rsid w:val="660364FC"/>
    <w:rsid w:val="664E077A"/>
    <w:rsid w:val="66556EC1"/>
    <w:rsid w:val="665C20B0"/>
    <w:rsid w:val="66E77BCB"/>
    <w:rsid w:val="66E83943"/>
    <w:rsid w:val="673D3C8F"/>
    <w:rsid w:val="678418BE"/>
    <w:rsid w:val="68093B71"/>
    <w:rsid w:val="68837BDD"/>
    <w:rsid w:val="689F5E45"/>
    <w:rsid w:val="68B006AB"/>
    <w:rsid w:val="68FB5BB0"/>
    <w:rsid w:val="692A1FF1"/>
    <w:rsid w:val="694A1976"/>
    <w:rsid w:val="695B03FD"/>
    <w:rsid w:val="6AB06526"/>
    <w:rsid w:val="6AC30863"/>
    <w:rsid w:val="6B1940CB"/>
    <w:rsid w:val="6B2667E8"/>
    <w:rsid w:val="6B422A43"/>
    <w:rsid w:val="6BA0712C"/>
    <w:rsid w:val="6BAC13E3"/>
    <w:rsid w:val="6C2E3BA6"/>
    <w:rsid w:val="6C375151"/>
    <w:rsid w:val="6C4B4758"/>
    <w:rsid w:val="6C6475C8"/>
    <w:rsid w:val="6C691082"/>
    <w:rsid w:val="6C8C6B1F"/>
    <w:rsid w:val="6C904861"/>
    <w:rsid w:val="6C9A123C"/>
    <w:rsid w:val="6CAC3E0C"/>
    <w:rsid w:val="6CCB7647"/>
    <w:rsid w:val="6CD24E7A"/>
    <w:rsid w:val="6CF22E26"/>
    <w:rsid w:val="6CFA7F2C"/>
    <w:rsid w:val="6D0B038C"/>
    <w:rsid w:val="6D21195D"/>
    <w:rsid w:val="6D3C42D4"/>
    <w:rsid w:val="6D5706E5"/>
    <w:rsid w:val="6D853C9A"/>
    <w:rsid w:val="6DDB5FB0"/>
    <w:rsid w:val="6E0C6169"/>
    <w:rsid w:val="6E245261"/>
    <w:rsid w:val="6E5A6ED5"/>
    <w:rsid w:val="6E5F098F"/>
    <w:rsid w:val="6EB72579"/>
    <w:rsid w:val="6ECE1671"/>
    <w:rsid w:val="6EEF1D13"/>
    <w:rsid w:val="6F327E52"/>
    <w:rsid w:val="6F5558EE"/>
    <w:rsid w:val="6F67449E"/>
    <w:rsid w:val="6FC50CC6"/>
    <w:rsid w:val="7020414E"/>
    <w:rsid w:val="70390D6C"/>
    <w:rsid w:val="705931BC"/>
    <w:rsid w:val="706E3654"/>
    <w:rsid w:val="707029DF"/>
    <w:rsid w:val="708F162B"/>
    <w:rsid w:val="70B328CC"/>
    <w:rsid w:val="70C8281B"/>
    <w:rsid w:val="710D6480"/>
    <w:rsid w:val="713003C1"/>
    <w:rsid w:val="71600CA6"/>
    <w:rsid w:val="719C5A56"/>
    <w:rsid w:val="719E17CE"/>
    <w:rsid w:val="71A52B5D"/>
    <w:rsid w:val="71B2527A"/>
    <w:rsid w:val="71D7083C"/>
    <w:rsid w:val="71F118FE"/>
    <w:rsid w:val="72294188"/>
    <w:rsid w:val="722F100B"/>
    <w:rsid w:val="72534367"/>
    <w:rsid w:val="729B5D0E"/>
    <w:rsid w:val="72C62D8B"/>
    <w:rsid w:val="730B2E93"/>
    <w:rsid w:val="73257F57"/>
    <w:rsid w:val="73530396"/>
    <w:rsid w:val="735D0C69"/>
    <w:rsid w:val="735D2FC3"/>
    <w:rsid w:val="73E3796C"/>
    <w:rsid w:val="73EA4857"/>
    <w:rsid w:val="740873D3"/>
    <w:rsid w:val="743B1556"/>
    <w:rsid w:val="74454183"/>
    <w:rsid w:val="74E13547"/>
    <w:rsid w:val="75475CD9"/>
    <w:rsid w:val="754E350B"/>
    <w:rsid w:val="757C0194"/>
    <w:rsid w:val="75CF1DAB"/>
    <w:rsid w:val="75FC2A02"/>
    <w:rsid w:val="76051E1C"/>
    <w:rsid w:val="7637387F"/>
    <w:rsid w:val="764A782F"/>
    <w:rsid w:val="7671125F"/>
    <w:rsid w:val="768F7AF6"/>
    <w:rsid w:val="77062109"/>
    <w:rsid w:val="770F7D5F"/>
    <w:rsid w:val="772B58B2"/>
    <w:rsid w:val="775200AA"/>
    <w:rsid w:val="777059BB"/>
    <w:rsid w:val="7785787E"/>
    <w:rsid w:val="77950F7E"/>
    <w:rsid w:val="77AD62C7"/>
    <w:rsid w:val="77D00208"/>
    <w:rsid w:val="780F0D30"/>
    <w:rsid w:val="781C51FB"/>
    <w:rsid w:val="782D7408"/>
    <w:rsid w:val="78767001"/>
    <w:rsid w:val="7879089F"/>
    <w:rsid w:val="78B47B29"/>
    <w:rsid w:val="78B6564F"/>
    <w:rsid w:val="78C57641"/>
    <w:rsid w:val="78CA4C57"/>
    <w:rsid w:val="78CF4963"/>
    <w:rsid w:val="79014704"/>
    <w:rsid w:val="791A3E30"/>
    <w:rsid w:val="793547C6"/>
    <w:rsid w:val="79581592"/>
    <w:rsid w:val="796432FD"/>
    <w:rsid w:val="7A9419C0"/>
    <w:rsid w:val="7AE55D78"/>
    <w:rsid w:val="7AED2E7F"/>
    <w:rsid w:val="7B0408F4"/>
    <w:rsid w:val="7B113011"/>
    <w:rsid w:val="7B18614D"/>
    <w:rsid w:val="7B3A1A33"/>
    <w:rsid w:val="7B3E36DA"/>
    <w:rsid w:val="7B4E7DC1"/>
    <w:rsid w:val="7B8E01BE"/>
    <w:rsid w:val="7BA774D1"/>
    <w:rsid w:val="7BDA1655"/>
    <w:rsid w:val="7BE2675B"/>
    <w:rsid w:val="7C907F65"/>
    <w:rsid w:val="7CCE35F1"/>
    <w:rsid w:val="7CEC1640"/>
    <w:rsid w:val="7DB54128"/>
    <w:rsid w:val="7DBB6D3F"/>
    <w:rsid w:val="7DC34985"/>
    <w:rsid w:val="7DC9372F"/>
    <w:rsid w:val="7DEC5124"/>
    <w:rsid w:val="7DF2712A"/>
    <w:rsid w:val="7E1C50C3"/>
    <w:rsid w:val="7E3D0C7E"/>
    <w:rsid w:val="7E795155"/>
    <w:rsid w:val="7E8F01B1"/>
    <w:rsid w:val="7E9B6895"/>
    <w:rsid w:val="7EDC3936"/>
    <w:rsid w:val="7EF667A6"/>
    <w:rsid w:val="7EFD72F6"/>
    <w:rsid w:val="7F4734A5"/>
    <w:rsid w:val="7F531E4A"/>
    <w:rsid w:val="7F5F65D1"/>
    <w:rsid w:val="7F904D60"/>
    <w:rsid w:val="7F967F89"/>
    <w:rsid w:val="7FAC3308"/>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5530</Words>
  <Characters>5668</Characters>
  <Lines>0</Lines>
  <Paragraphs>0</Paragraphs>
  <TotalTime>15</TotalTime>
  <ScaleCrop>false</ScaleCrop>
  <LinksUpToDate>false</LinksUpToDate>
  <CharactersWithSpaces>5689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2024-07-01T07:04:00Z</dcterms:created>
  <dc:creator>lenovo</dc:creator>
  <cp:lastModifiedBy>范文琪</cp:lastModifiedBy>
  <cp:lastPrinted>2024-07-17T06:00:00Z</cp:lastPrinted>
  <dcterms:modified xsi:type="dcterms:W3CDTF">2024-10-31T08:23:16Z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FA3B67A89FCD470A83BEBC39442D67E3_13</vt:lpwstr>
  </property>
</Properties>
</file>